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74E" w:rsidRPr="00423D01" w:rsidRDefault="00B75584" w:rsidP="00F03535">
      <w:pPr>
        <w:tabs>
          <w:tab w:val="left" w:pos="2835"/>
        </w:tabs>
        <w:jc w:val="center"/>
        <w:rPr>
          <w:rFonts w:ascii="Trebuchet MS" w:hAnsi="Trebuchet MS"/>
        </w:rPr>
      </w:pPr>
      <w:r>
        <w:rPr>
          <w:noProof/>
          <w:lang w:bidi="ks-Deva"/>
        </w:rPr>
        <w:drawing>
          <wp:anchor distT="0" distB="0" distL="114300" distR="114300" simplePos="0" relativeHeight="251658240" behindDoc="0" locked="0" layoutInCell="1" allowOverlap="1">
            <wp:simplePos x="0" y="0"/>
            <wp:positionH relativeFrom="column">
              <wp:posOffset>1119505</wp:posOffset>
            </wp:positionH>
            <wp:positionV relativeFrom="paragraph">
              <wp:posOffset>-442595</wp:posOffset>
            </wp:positionV>
            <wp:extent cx="3524250" cy="685800"/>
            <wp:effectExtent l="19050" t="0" r="0" b="0"/>
            <wp:wrapNone/>
            <wp:docPr id="2" name="Picture 1" descr="Central logo_daily 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 logo_daily use"/>
                    <pic:cNvPicPr>
                      <a:picLocks noChangeAspect="1" noChangeArrowheads="1"/>
                    </pic:cNvPicPr>
                  </pic:nvPicPr>
                  <pic:blipFill>
                    <a:blip r:embed="rId8"/>
                    <a:srcRect/>
                    <a:stretch>
                      <a:fillRect/>
                    </a:stretch>
                  </pic:blipFill>
                  <pic:spPr bwMode="auto">
                    <a:xfrm>
                      <a:off x="0" y="0"/>
                      <a:ext cx="3524250" cy="685800"/>
                    </a:xfrm>
                    <a:prstGeom prst="rect">
                      <a:avLst/>
                    </a:prstGeom>
                    <a:noFill/>
                  </pic:spPr>
                </pic:pic>
              </a:graphicData>
            </a:graphic>
          </wp:anchor>
        </w:drawing>
      </w:r>
    </w:p>
    <w:p w:rsidR="009D674E" w:rsidRPr="00423D01" w:rsidRDefault="009D674E" w:rsidP="001A3C68">
      <w:pPr>
        <w:jc w:val="center"/>
        <w:rPr>
          <w:rFonts w:ascii="Trebuchet MS" w:hAnsi="Trebuchet MS"/>
          <w:b/>
        </w:rPr>
      </w:pPr>
    </w:p>
    <w:p w:rsidR="009D674E" w:rsidRPr="00423D01" w:rsidRDefault="009D674E" w:rsidP="001A3C68">
      <w:pPr>
        <w:jc w:val="center"/>
        <w:rPr>
          <w:rFonts w:ascii="Trebuchet MS" w:hAnsi="Trebuchet MS"/>
          <w:b/>
        </w:rPr>
      </w:pPr>
      <w:r>
        <w:rPr>
          <w:rFonts w:ascii="Trebuchet MS" w:hAnsi="Trebuchet MS"/>
          <w:b/>
        </w:rPr>
        <w:t>Program CENTRAL EUROPE 2020</w:t>
      </w:r>
    </w:p>
    <w:p w:rsidR="009D674E" w:rsidRPr="00423D01" w:rsidRDefault="009D674E" w:rsidP="001A3C68">
      <w:pPr>
        <w:jc w:val="center"/>
        <w:rPr>
          <w:rFonts w:ascii="Trebuchet MS" w:hAnsi="Trebuchet MS"/>
          <w:b/>
        </w:rPr>
      </w:pPr>
      <w:r>
        <w:rPr>
          <w:rFonts w:ascii="Trebuchet MS" w:hAnsi="Trebuchet MS"/>
          <w:b/>
        </w:rPr>
        <w:t xml:space="preserve">Příloha č. </w:t>
      </w:r>
      <w:r w:rsidR="00B75584">
        <w:rPr>
          <w:rFonts w:ascii="Trebuchet MS" w:hAnsi="Trebuchet MS"/>
          <w:b/>
        </w:rPr>
        <w:t>8</w:t>
      </w:r>
      <w:r>
        <w:rPr>
          <w:rFonts w:ascii="Trebuchet MS" w:hAnsi="Trebuchet MS"/>
          <w:b/>
        </w:rPr>
        <w:t xml:space="preserve"> </w:t>
      </w:r>
      <w:r w:rsidR="00491B94">
        <w:rPr>
          <w:rFonts w:ascii="Trebuchet MS" w:hAnsi="Trebuchet MS"/>
          <w:b/>
        </w:rPr>
        <w:t>M</w:t>
      </w:r>
      <w:r>
        <w:rPr>
          <w:rFonts w:ascii="Trebuchet MS" w:hAnsi="Trebuchet MS"/>
          <w:b/>
        </w:rPr>
        <w:t>etodick</w:t>
      </w:r>
      <w:r w:rsidR="003556D7">
        <w:rPr>
          <w:rFonts w:ascii="Trebuchet MS" w:hAnsi="Trebuchet MS"/>
          <w:b/>
        </w:rPr>
        <w:t>ý</w:t>
      </w:r>
      <w:r>
        <w:rPr>
          <w:rFonts w:ascii="Trebuchet MS" w:hAnsi="Trebuchet MS"/>
          <w:b/>
        </w:rPr>
        <w:t xml:space="preserve"> </w:t>
      </w:r>
      <w:r w:rsidR="00491B94">
        <w:rPr>
          <w:rFonts w:ascii="Trebuchet MS" w:hAnsi="Trebuchet MS"/>
          <w:b/>
        </w:rPr>
        <w:t>po</w:t>
      </w:r>
      <w:r w:rsidR="003556D7">
        <w:rPr>
          <w:rFonts w:ascii="Trebuchet MS" w:hAnsi="Trebuchet MS"/>
          <w:b/>
        </w:rPr>
        <w:t>kyn</w:t>
      </w:r>
      <w:r w:rsidR="00DD79AE">
        <w:rPr>
          <w:rFonts w:ascii="Trebuchet MS" w:hAnsi="Trebuchet MS"/>
          <w:b/>
        </w:rPr>
        <w:t xml:space="preserve"> ke stanovení výcho</w:t>
      </w:r>
      <w:r w:rsidR="000624D5">
        <w:rPr>
          <w:rFonts w:ascii="Trebuchet MS" w:hAnsi="Trebuchet MS"/>
          <w:b/>
        </w:rPr>
        <w:t>zí situace</w:t>
      </w:r>
      <w:r w:rsidR="00DD79AE">
        <w:rPr>
          <w:rFonts w:ascii="Trebuchet MS" w:hAnsi="Trebuchet MS"/>
          <w:b/>
        </w:rPr>
        <w:t xml:space="preserve"> a měření</w:t>
      </w:r>
      <w:r w:rsidR="00C329DE">
        <w:rPr>
          <w:rFonts w:ascii="Trebuchet MS" w:hAnsi="Trebuchet MS"/>
          <w:b/>
        </w:rPr>
        <w:t xml:space="preserve"> pokroku dosaženého u</w:t>
      </w:r>
      <w:r>
        <w:rPr>
          <w:rFonts w:ascii="Trebuchet MS" w:hAnsi="Trebuchet MS"/>
          <w:b/>
        </w:rPr>
        <w:t xml:space="preserve"> ukazatelů výsledku</w:t>
      </w:r>
    </w:p>
    <w:p w:rsidR="009D674E" w:rsidRPr="00C329DE" w:rsidRDefault="00C329DE" w:rsidP="0053407B">
      <w:pPr>
        <w:jc w:val="both"/>
        <w:rPr>
          <w:rFonts w:ascii="Trebuchet MS" w:hAnsi="Trebuchet MS"/>
          <w:b/>
          <w:bCs/>
          <w:sz w:val="20"/>
          <w:szCs w:val="20"/>
          <w:u w:val="single"/>
        </w:rPr>
      </w:pPr>
      <w:r>
        <w:rPr>
          <w:rFonts w:ascii="Trebuchet MS" w:hAnsi="Trebuchet MS"/>
          <w:b/>
          <w:bCs/>
          <w:sz w:val="20"/>
          <w:szCs w:val="20"/>
          <w:u w:val="single"/>
        </w:rPr>
        <w:t>Prioritní osy 1-4</w:t>
      </w:r>
    </w:p>
    <w:p w:rsidR="009D674E" w:rsidRDefault="009D674E" w:rsidP="0053407B">
      <w:pPr>
        <w:jc w:val="both"/>
        <w:rPr>
          <w:rFonts w:ascii="Trebuchet MS" w:hAnsi="Trebuchet MS"/>
          <w:sz w:val="20"/>
          <w:szCs w:val="20"/>
        </w:rPr>
      </w:pPr>
      <w:r>
        <w:rPr>
          <w:rFonts w:ascii="Trebuchet MS" w:hAnsi="Trebuchet MS"/>
          <w:sz w:val="20"/>
        </w:rPr>
        <w:t>Program CENTRAL EUROPE se primárně zaměřuje na rozvoj a zlepšení know-how a kapacit v různých tem</w:t>
      </w:r>
      <w:bookmarkStart w:id="0" w:name="_GoBack"/>
      <w:bookmarkEnd w:id="0"/>
      <w:r>
        <w:rPr>
          <w:rFonts w:ascii="Trebuchet MS" w:hAnsi="Trebuchet MS"/>
          <w:sz w:val="20"/>
        </w:rPr>
        <w:t xml:space="preserve">atických oblastech prostřednictvím nadnárodní spolupráce v programové oblasti. Toto zaměření je chápáno jako tvorba podnětného prostředí prostřednictvím </w:t>
      </w:r>
      <w:r w:rsidR="00073183">
        <w:rPr>
          <w:rFonts w:ascii="Trebuchet MS" w:hAnsi="Trebuchet MS"/>
          <w:sz w:val="20"/>
        </w:rPr>
        <w:t xml:space="preserve">zlepšení </w:t>
      </w:r>
      <w:r>
        <w:rPr>
          <w:rFonts w:ascii="Trebuchet MS" w:hAnsi="Trebuchet MS"/>
          <w:sz w:val="20"/>
        </w:rPr>
        <w:t xml:space="preserve">politiky, právních a </w:t>
      </w:r>
      <w:r w:rsidR="00073183">
        <w:rPr>
          <w:rFonts w:ascii="Trebuchet MS" w:hAnsi="Trebuchet MS"/>
          <w:sz w:val="20"/>
        </w:rPr>
        <w:t xml:space="preserve">institucionálních </w:t>
      </w:r>
      <w:r>
        <w:rPr>
          <w:rFonts w:ascii="Trebuchet MS" w:hAnsi="Trebuchet MS"/>
          <w:sz w:val="20"/>
        </w:rPr>
        <w:t xml:space="preserve">rámců, jakož i lidských zdrojů a posilování </w:t>
      </w:r>
      <w:proofErr w:type="gramStart"/>
      <w:r>
        <w:rPr>
          <w:rFonts w:ascii="Trebuchet MS" w:hAnsi="Trebuchet MS"/>
          <w:sz w:val="20"/>
        </w:rPr>
        <w:t>řídících</w:t>
      </w:r>
      <w:proofErr w:type="gramEnd"/>
      <w:r>
        <w:rPr>
          <w:rFonts w:ascii="Trebuchet MS" w:hAnsi="Trebuchet MS"/>
          <w:sz w:val="20"/>
        </w:rPr>
        <w:t xml:space="preserve"> systémů. Kvantitativní popis stavu těchto prvků, jejich vzájemných vazeb a změn ve srovnání s výchozí situací je v rámci programové oblasti velmi obtížný, takže je lze vyjádřit pouze prostřednictvím kvalitativního hodnocení a popisu. Jedním z důvodů této obtížnosti je také </w:t>
      </w:r>
      <w:r w:rsidR="003556D7">
        <w:rPr>
          <w:rFonts w:ascii="Trebuchet MS" w:hAnsi="Trebuchet MS"/>
          <w:sz w:val="20"/>
        </w:rPr>
        <w:t>nedostupnost</w:t>
      </w:r>
      <w:r>
        <w:rPr>
          <w:rFonts w:ascii="Trebuchet MS" w:hAnsi="Trebuchet MS"/>
          <w:sz w:val="20"/>
        </w:rPr>
        <w:t xml:space="preserve"> kvantitativních dat, která by na úrovni programové oblasti programu CENTRAL EUROPE pokrývala všechny zmíněné prvky. </w:t>
      </w:r>
    </w:p>
    <w:p w:rsidR="009D674E" w:rsidRDefault="009D674E" w:rsidP="0053407B">
      <w:pPr>
        <w:jc w:val="both"/>
        <w:rPr>
          <w:rFonts w:ascii="Trebuchet MS" w:hAnsi="Trebuchet MS"/>
          <w:sz w:val="20"/>
          <w:szCs w:val="20"/>
        </w:rPr>
      </w:pPr>
      <w:r>
        <w:rPr>
          <w:rFonts w:ascii="Trebuchet MS" w:hAnsi="Trebuchet MS"/>
          <w:sz w:val="20"/>
        </w:rPr>
        <w:t>Ukazatele výsledku pokrývající hlavní výsledky programu a popisující žádanou změnu</w:t>
      </w:r>
      <w:r>
        <w:rPr>
          <w:rStyle w:val="Znakapoznpodarou"/>
          <w:rFonts w:ascii="Trebuchet MS" w:hAnsi="Trebuchet MS"/>
          <w:sz w:val="20"/>
        </w:rPr>
        <w:footnoteReference w:id="1"/>
      </w:r>
      <w:r>
        <w:rPr>
          <w:rFonts w:ascii="Trebuchet MS" w:hAnsi="Trebuchet MS"/>
          <w:sz w:val="20"/>
        </w:rPr>
        <w:t xml:space="preserve"> v programové oblasti tedy musejí vycházet z kvalitativního popisu situace v době měření (výchozí stav, pokrok a cíle, jak jsou předpokládány programem</w:t>
      </w:r>
      <w:r w:rsidR="00C329DE">
        <w:rPr>
          <w:rFonts w:ascii="Trebuchet MS" w:hAnsi="Trebuchet MS"/>
          <w:sz w:val="20"/>
        </w:rPr>
        <w:t xml:space="preserve"> spolupráce</w:t>
      </w:r>
      <w:r>
        <w:rPr>
          <w:rFonts w:ascii="Trebuchet MS" w:hAnsi="Trebuchet MS"/>
          <w:sz w:val="20"/>
        </w:rPr>
        <w:t xml:space="preserve">). </w:t>
      </w:r>
      <w:r w:rsidR="00893AE0">
        <w:rPr>
          <w:rFonts w:ascii="Trebuchet MS" w:hAnsi="Trebuchet MS"/>
          <w:sz w:val="20"/>
        </w:rPr>
        <w:t>V</w:t>
      </w:r>
      <w:r>
        <w:rPr>
          <w:rFonts w:ascii="Trebuchet MS" w:hAnsi="Trebuchet MS"/>
          <w:sz w:val="20"/>
        </w:rPr>
        <w:t xml:space="preserve"> zájmu zajištění </w:t>
      </w:r>
      <w:r w:rsidR="00C329DE">
        <w:rPr>
          <w:rFonts w:ascii="Trebuchet MS" w:hAnsi="Trebuchet MS"/>
          <w:sz w:val="20"/>
        </w:rPr>
        <w:t xml:space="preserve">srovnatelnosti </w:t>
      </w:r>
      <w:r>
        <w:rPr>
          <w:rFonts w:ascii="Trebuchet MS" w:hAnsi="Trebuchet MS"/>
          <w:sz w:val="20"/>
        </w:rPr>
        <w:t>popisu výchozí situace a dosaženého pokroku se předpokládá použití metody zahrnující semikvantitativní prvky</w:t>
      </w:r>
      <w:r>
        <w:rPr>
          <w:rStyle w:val="Znakapoznpodarou"/>
          <w:rFonts w:ascii="Trebuchet MS" w:hAnsi="Trebuchet MS"/>
          <w:sz w:val="20"/>
        </w:rPr>
        <w:footnoteReference w:id="2"/>
      </w:r>
      <w:r>
        <w:rPr>
          <w:rFonts w:ascii="Trebuchet MS" w:hAnsi="Trebuchet MS"/>
          <w:sz w:val="20"/>
        </w:rPr>
        <w:t xml:space="preserve">. </w:t>
      </w:r>
      <w:r w:rsidR="00893AE0">
        <w:rPr>
          <w:rFonts w:ascii="Trebuchet MS" w:hAnsi="Trebuchet MS"/>
          <w:sz w:val="20"/>
        </w:rPr>
        <w:t>V</w:t>
      </w:r>
      <w:r>
        <w:rPr>
          <w:rFonts w:ascii="Trebuchet MS" w:hAnsi="Trebuchet MS"/>
          <w:sz w:val="20"/>
        </w:rPr>
        <w:t xml:space="preserve"> rámci kvalitativního hodnocení se proto používá systém bodového hodnocení založený na sadě kritérií, která jsou pro příslušný ukazatel relevantní a která lze hodnotit bodovým hodnocením v rozmezí 1 až 5 bodů. </w:t>
      </w:r>
    </w:p>
    <w:p w:rsidR="009D674E" w:rsidRDefault="00073183" w:rsidP="00730C3F">
      <w:pPr>
        <w:jc w:val="both"/>
        <w:rPr>
          <w:rFonts w:ascii="Trebuchet MS" w:hAnsi="Trebuchet MS"/>
          <w:sz w:val="20"/>
          <w:szCs w:val="20"/>
        </w:rPr>
      </w:pPr>
      <w:r>
        <w:rPr>
          <w:rFonts w:ascii="Trebuchet MS" w:hAnsi="Trebuchet MS"/>
          <w:sz w:val="20"/>
        </w:rPr>
        <w:t>Sběr dat</w:t>
      </w:r>
      <w:r w:rsidR="009D674E">
        <w:rPr>
          <w:rFonts w:ascii="Trebuchet MS" w:hAnsi="Trebuchet MS"/>
          <w:sz w:val="20"/>
        </w:rPr>
        <w:t xml:space="preserve"> pro ukazatele výsledků v rámci posouzení výchozí situace a monitorování pokroku </w:t>
      </w:r>
      <w:r>
        <w:rPr>
          <w:rFonts w:ascii="Trebuchet MS" w:hAnsi="Trebuchet MS"/>
          <w:sz w:val="20"/>
        </w:rPr>
        <w:t>bude podle plánu využívat</w:t>
      </w:r>
      <w:r w:rsidR="009D674E">
        <w:rPr>
          <w:rFonts w:ascii="Trebuchet MS" w:hAnsi="Trebuchet MS"/>
          <w:sz w:val="20"/>
        </w:rPr>
        <w:t xml:space="preserve"> strukturovan</w:t>
      </w:r>
      <w:r>
        <w:rPr>
          <w:rFonts w:ascii="Trebuchet MS" w:hAnsi="Trebuchet MS"/>
          <w:sz w:val="20"/>
        </w:rPr>
        <w:t>é</w:t>
      </w:r>
      <w:r w:rsidR="009D674E">
        <w:rPr>
          <w:rFonts w:ascii="Trebuchet MS" w:hAnsi="Trebuchet MS"/>
          <w:sz w:val="20"/>
        </w:rPr>
        <w:t xml:space="preserve"> průzkum</w:t>
      </w:r>
      <w:r>
        <w:rPr>
          <w:rFonts w:ascii="Trebuchet MS" w:hAnsi="Trebuchet MS"/>
          <w:sz w:val="20"/>
        </w:rPr>
        <w:t>y</w:t>
      </w:r>
      <w:r w:rsidR="00AC5C11">
        <w:rPr>
          <w:rFonts w:ascii="Trebuchet MS" w:hAnsi="Trebuchet MS"/>
          <w:sz w:val="20"/>
        </w:rPr>
        <w:t>, které v kombinaci s přístupem diskusních skupin</w:t>
      </w:r>
      <w:r w:rsidR="009D674E">
        <w:rPr>
          <w:rFonts w:ascii="Trebuchet MS" w:hAnsi="Trebuchet MS"/>
          <w:sz w:val="20"/>
        </w:rPr>
        <w:t xml:space="preserve"> </w:t>
      </w:r>
      <w:r w:rsidR="00AC5C11">
        <w:rPr>
          <w:rFonts w:ascii="Trebuchet MS" w:hAnsi="Trebuchet MS"/>
          <w:sz w:val="20"/>
        </w:rPr>
        <w:t xml:space="preserve">umožní </w:t>
      </w:r>
      <w:r w:rsidR="009D674E">
        <w:rPr>
          <w:rFonts w:ascii="Trebuchet MS" w:hAnsi="Trebuchet MS"/>
          <w:sz w:val="20"/>
        </w:rPr>
        <w:t>shromažď</w:t>
      </w:r>
      <w:r w:rsidR="00AC5C11">
        <w:rPr>
          <w:rFonts w:ascii="Trebuchet MS" w:hAnsi="Trebuchet MS"/>
          <w:sz w:val="20"/>
        </w:rPr>
        <w:t>ován</w:t>
      </w:r>
      <w:r w:rsidR="009D674E">
        <w:rPr>
          <w:rFonts w:ascii="Trebuchet MS" w:hAnsi="Trebuchet MS"/>
          <w:sz w:val="20"/>
        </w:rPr>
        <w:t>í vstup</w:t>
      </w:r>
      <w:r w:rsidR="00AC5C11">
        <w:rPr>
          <w:rFonts w:ascii="Trebuchet MS" w:hAnsi="Trebuchet MS"/>
          <w:sz w:val="20"/>
        </w:rPr>
        <w:t>ů</w:t>
      </w:r>
      <w:r w:rsidR="009D674E">
        <w:rPr>
          <w:rFonts w:ascii="Trebuchet MS" w:hAnsi="Trebuchet MS"/>
          <w:sz w:val="20"/>
        </w:rPr>
        <w:t xml:space="preserve"> poskytovan</w:t>
      </w:r>
      <w:r w:rsidR="00AC5C11">
        <w:rPr>
          <w:rFonts w:ascii="Trebuchet MS" w:hAnsi="Trebuchet MS"/>
          <w:sz w:val="20"/>
        </w:rPr>
        <w:t>ých</w:t>
      </w:r>
      <w:r w:rsidR="009D674E">
        <w:rPr>
          <w:rFonts w:ascii="Trebuchet MS" w:hAnsi="Trebuchet MS"/>
          <w:sz w:val="20"/>
        </w:rPr>
        <w:t xml:space="preserve"> odborníky ze všech devíti středoevropských členských států. Dotazníky budou vytvořeny na základě sady kritérií pokrývajících tematický rozsah příslušného ukazatele výsledku a obsahujících také bodové ohodnocení (jak je popsáno výše). Cílem bude vyhodnotit změnu dosaženou implementací programu, tj. posoudit, do jaké míry jsou změny výsledkem programu, a zvážit přitom také možné </w:t>
      </w:r>
      <w:r>
        <w:rPr>
          <w:rFonts w:ascii="Trebuchet MS" w:hAnsi="Trebuchet MS"/>
          <w:sz w:val="20"/>
        </w:rPr>
        <w:t xml:space="preserve">externí </w:t>
      </w:r>
      <w:r w:rsidR="009D674E">
        <w:rPr>
          <w:rFonts w:ascii="Trebuchet MS" w:hAnsi="Trebuchet MS"/>
          <w:sz w:val="20"/>
        </w:rPr>
        <w:t xml:space="preserve">vlivy. Tento postup umožní shromážděná data agregovat a kvantitativně analyzovat. </w:t>
      </w:r>
    </w:p>
    <w:p w:rsidR="009D674E" w:rsidRDefault="009D674E" w:rsidP="00730C3F">
      <w:pPr>
        <w:jc w:val="both"/>
        <w:rPr>
          <w:rFonts w:ascii="Trebuchet MS" w:hAnsi="Trebuchet MS"/>
          <w:sz w:val="20"/>
          <w:szCs w:val="20"/>
        </w:rPr>
      </w:pPr>
      <w:r>
        <w:rPr>
          <w:rFonts w:ascii="Trebuchet MS" w:hAnsi="Trebuchet MS"/>
          <w:sz w:val="20"/>
        </w:rPr>
        <w:t xml:space="preserve">Pro každou prioritní osu </w:t>
      </w:r>
      <w:r w:rsidR="003556D7">
        <w:rPr>
          <w:rFonts w:ascii="Trebuchet MS" w:hAnsi="Trebuchet MS"/>
          <w:sz w:val="20"/>
        </w:rPr>
        <w:t>bude osloven</w:t>
      </w:r>
      <w:r>
        <w:rPr>
          <w:rFonts w:ascii="Trebuchet MS" w:hAnsi="Trebuchet MS"/>
          <w:sz w:val="20"/>
        </w:rPr>
        <w:t xml:space="preserve"> panel odborníků, ve kterém bude každý z členských států zastoupen alespoň jedním odborníkem na dané téma. Hlavní kritéria pro výběr vhodných odborníků jsou následující: prokázaná tematická odbornost v příslušné oblasti; znalost příslušných rámcových politik na regionální, národní a evropské úrovni; zkušenost s problematikou strukturálních fondů a pokud možno také obeznámenost s cílem evropské územní spolupráce. Odborníci budou navržen</w:t>
      </w:r>
      <w:r w:rsidR="00893AE0">
        <w:rPr>
          <w:rFonts w:ascii="Trebuchet MS" w:hAnsi="Trebuchet MS"/>
          <w:sz w:val="20"/>
        </w:rPr>
        <w:t>i</w:t>
      </w:r>
      <w:r>
        <w:rPr>
          <w:rFonts w:ascii="Trebuchet MS" w:hAnsi="Trebuchet MS"/>
          <w:sz w:val="20"/>
        </w:rPr>
        <w:t xml:space="preserve"> jednotlivými členskými státy a budou jmenováni řídící skupinou/monitorovacím výborem programu CENTRAL EUROPE 2020.</w:t>
      </w:r>
    </w:p>
    <w:p w:rsidR="009D674E" w:rsidRDefault="003556D7" w:rsidP="00730C3F">
      <w:pPr>
        <w:jc w:val="both"/>
        <w:rPr>
          <w:rFonts w:ascii="Trebuchet MS" w:hAnsi="Trebuchet MS"/>
          <w:sz w:val="20"/>
          <w:szCs w:val="20"/>
        </w:rPr>
      </w:pPr>
      <w:r>
        <w:rPr>
          <w:rFonts w:ascii="Trebuchet MS" w:hAnsi="Trebuchet MS"/>
          <w:sz w:val="20"/>
        </w:rPr>
        <w:t>Konzultace s p</w:t>
      </w:r>
      <w:r w:rsidR="009D674E">
        <w:rPr>
          <w:rFonts w:ascii="Trebuchet MS" w:hAnsi="Trebuchet MS"/>
          <w:sz w:val="20"/>
        </w:rPr>
        <w:t>anel</w:t>
      </w:r>
      <w:r>
        <w:rPr>
          <w:rFonts w:ascii="Trebuchet MS" w:hAnsi="Trebuchet MS"/>
          <w:sz w:val="20"/>
        </w:rPr>
        <w:t>em</w:t>
      </w:r>
      <w:r w:rsidR="009D674E">
        <w:rPr>
          <w:rFonts w:ascii="Trebuchet MS" w:hAnsi="Trebuchet MS"/>
          <w:sz w:val="20"/>
        </w:rPr>
        <w:t xml:space="preserve"> odborníků </w:t>
      </w:r>
      <w:r w:rsidR="000624D5">
        <w:rPr>
          <w:rFonts w:ascii="Trebuchet MS" w:hAnsi="Trebuchet MS"/>
          <w:sz w:val="20"/>
        </w:rPr>
        <w:t>bud</w:t>
      </w:r>
      <w:r>
        <w:rPr>
          <w:rFonts w:ascii="Trebuchet MS" w:hAnsi="Trebuchet MS"/>
          <w:sz w:val="20"/>
        </w:rPr>
        <w:t>ou probíhat</w:t>
      </w:r>
      <w:r w:rsidR="000624D5">
        <w:rPr>
          <w:rFonts w:ascii="Trebuchet MS" w:hAnsi="Trebuchet MS"/>
          <w:sz w:val="20"/>
        </w:rPr>
        <w:t xml:space="preserve"> (prostřednictvím</w:t>
      </w:r>
      <w:r w:rsidR="009D674E">
        <w:rPr>
          <w:rFonts w:ascii="Trebuchet MS" w:hAnsi="Trebuchet MS"/>
          <w:sz w:val="20"/>
        </w:rPr>
        <w:t xml:space="preserve"> průzkumů</w:t>
      </w:r>
      <w:r w:rsidR="000624D5">
        <w:rPr>
          <w:rFonts w:ascii="Trebuchet MS" w:hAnsi="Trebuchet MS"/>
          <w:sz w:val="20"/>
        </w:rPr>
        <w:t xml:space="preserve"> a skupinových diskuzí zaměřených na příslušná témata)</w:t>
      </w:r>
      <w:r w:rsidR="009D674E">
        <w:rPr>
          <w:rFonts w:ascii="Trebuchet MS" w:hAnsi="Trebuchet MS"/>
          <w:sz w:val="20"/>
        </w:rPr>
        <w:t xml:space="preserve"> v jednotlivých implementačních fázích programu: </w:t>
      </w:r>
    </w:p>
    <w:p w:rsidR="009D674E" w:rsidRDefault="009D674E" w:rsidP="004E08CF">
      <w:pPr>
        <w:pStyle w:val="Odstavecseseznamem"/>
        <w:numPr>
          <w:ilvl w:val="0"/>
          <w:numId w:val="3"/>
        </w:numPr>
        <w:jc w:val="both"/>
        <w:rPr>
          <w:rFonts w:ascii="Trebuchet MS" w:hAnsi="Trebuchet MS"/>
          <w:sz w:val="20"/>
          <w:szCs w:val="20"/>
        </w:rPr>
      </w:pPr>
      <w:r>
        <w:rPr>
          <w:rFonts w:ascii="Trebuchet MS" w:hAnsi="Trebuchet MS"/>
          <w:sz w:val="20"/>
        </w:rPr>
        <w:t>stanovení výchozí situace v roce 2014,</w:t>
      </w:r>
    </w:p>
    <w:p w:rsidR="009D674E" w:rsidRDefault="009D674E" w:rsidP="004E08CF">
      <w:pPr>
        <w:pStyle w:val="Odstavecseseznamem"/>
        <w:numPr>
          <w:ilvl w:val="0"/>
          <w:numId w:val="3"/>
        </w:numPr>
        <w:jc w:val="both"/>
        <w:rPr>
          <w:rFonts w:ascii="Trebuchet MS" w:hAnsi="Trebuchet MS"/>
          <w:sz w:val="20"/>
          <w:szCs w:val="20"/>
        </w:rPr>
      </w:pPr>
      <w:r>
        <w:rPr>
          <w:rFonts w:ascii="Trebuchet MS" w:hAnsi="Trebuchet MS"/>
          <w:sz w:val="20"/>
        </w:rPr>
        <w:lastRenderedPageBreak/>
        <w:t xml:space="preserve">měření dosaženého pokroku v letech 2018 a 2020, </w:t>
      </w:r>
    </w:p>
    <w:p w:rsidR="009D674E" w:rsidRDefault="009D674E" w:rsidP="004E08CF">
      <w:pPr>
        <w:pStyle w:val="Odstavecseseznamem"/>
        <w:numPr>
          <w:ilvl w:val="0"/>
          <w:numId w:val="3"/>
        </w:numPr>
        <w:jc w:val="both"/>
        <w:rPr>
          <w:rFonts w:ascii="Trebuchet MS" w:hAnsi="Trebuchet MS"/>
          <w:sz w:val="20"/>
          <w:szCs w:val="20"/>
        </w:rPr>
      </w:pPr>
      <w:r>
        <w:rPr>
          <w:rFonts w:ascii="Trebuchet MS" w:hAnsi="Trebuchet MS"/>
          <w:sz w:val="20"/>
        </w:rPr>
        <w:t>ověření dosažení stanoven</w:t>
      </w:r>
      <w:r w:rsidR="00073183">
        <w:rPr>
          <w:rFonts w:ascii="Trebuchet MS" w:hAnsi="Trebuchet MS"/>
          <w:sz w:val="20"/>
        </w:rPr>
        <w:t>ých</w:t>
      </w:r>
      <w:r>
        <w:rPr>
          <w:rFonts w:ascii="Trebuchet MS" w:hAnsi="Trebuchet MS"/>
          <w:sz w:val="20"/>
        </w:rPr>
        <w:t xml:space="preserve"> cíl</w:t>
      </w:r>
      <w:r w:rsidR="00073183">
        <w:rPr>
          <w:rFonts w:ascii="Trebuchet MS" w:hAnsi="Trebuchet MS"/>
          <w:sz w:val="20"/>
        </w:rPr>
        <w:t>ů</w:t>
      </w:r>
      <w:r>
        <w:rPr>
          <w:rFonts w:ascii="Trebuchet MS" w:hAnsi="Trebuchet MS"/>
          <w:sz w:val="20"/>
        </w:rPr>
        <w:t xml:space="preserve"> v roce 2023.</w:t>
      </w:r>
    </w:p>
    <w:p w:rsidR="009D674E" w:rsidRDefault="009D674E" w:rsidP="00FE4A80">
      <w:pPr>
        <w:jc w:val="both"/>
        <w:rPr>
          <w:rFonts w:ascii="Trebuchet MS" w:hAnsi="Trebuchet MS"/>
          <w:sz w:val="20"/>
          <w:szCs w:val="20"/>
        </w:rPr>
      </w:pPr>
      <w:r>
        <w:rPr>
          <w:rFonts w:ascii="Trebuchet MS" w:hAnsi="Trebuchet MS"/>
          <w:sz w:val="20"/>
        </w:rPr>
        <w:t>Vyplňování dotazníku týmiž odborníky</w:t>
      </w:r>
      <w:r>
        <w:rPr>
          <w:rStyle w:val="Znakapoznpodarou"/>
          <w:rFonts w:ascii="Trebuchet MS" w:hAnsi="Trebuchet MS"/>
          <w:sz w:val="20"/>
        </w:rPr>
        <w:footnoteReference w:id="3"/>
      </w:r>
      <w:r>
        <w:rPr>
          <w:rFonts w:ascii="Trebuchet MS" w:hAnsi="Trebuchet MS"/>
          <w:sz w:val="20"/>
        </w:rPr>
        <w:t xml:space="preserve"> a srovnání hodnot ukazatele v různých časových bodech odrážejících různé fáze implementace programu umožní kvantitativně </w:t>
      </w:r>
      <w:r w:rsidR="000624D5">
        <w:rPr>
          <w:rFonts w:ascii="Trebuchet MS" w:hAnsi="Trebuchet MS"/>
          <w:sz w:val="20"/>
        </w:rPr>
        <w:t xml:space="preserve">a kvalitativně </w:t>
      </w:r>
      <w:r>
        <w:rPr>
          <w:rFonts w:ascii="Trebuchet MS" w:hAnsi="Trebuchet MS"/>
          <w:sz w:val="20"/>
        </w:rPr>
        <w:t>doložit dosažené změny. To umožní jednoznačně a nestranně vyhodnotit dosažený pokrok a výsledky srovnáním s počáteční situací popsanou výchozím stavem.</w:t>
      </w:r>
    </w:p>
    <w:p w:rsidR="009D674E" w:rsidRPr="00806928" w:rsidRDefault="009D674E" w:rsidP="00730C3F">
      <w:pPr>
        <w:jc w:val="both"/>
        <w:rPr>
          <w:rFonts w:ascii="Trebuchet MS" w:hAnsi="Trebuchet MS"/>
          <w:sz w:val="20"/>
          <w:szCs w:val="20"/>
        </w:rPr>
      </w:pPr>
      <w:r>
        <w:rPr>
          <w:rFonts w:ascii="Trebuchet MS" w:hAnsi="Trebuchet MS"/>
          <w:sz w:val="20"/>
        </w:rPr>
        <w:t>Tento přístup staví na zkušenostech získaných během přípravné fáze programu</w:t>
      </w:r>
      <w:r w:rsidR="000624D5">
        <w:rPr>
          <w:rFonts w:ascii="Trebuchet MS" w:hAnsi="Trebuchet MS"/>
          <w:sz w:val="20"/>
        </w:rPr>
        <w:t xml:space="preserve"> spolupráce</w:t>
      </w:r>
      <w:r>
        <w:rPr>
          <w:rFonts w:ascii="Trebuchet MS" w:hAnsi="Trebuchet MS"/>
          <w:sz w:val="20"/>
        </w:rPr>
        <w:t>, během níž probíhaly v rámci ex-ante hodnocení pohovory s tematickými odborníky (</w:t>
      </w:r>
      <w:r w:rsidR="00073183">
        <w:rPr>
          <w:rFonts w:ascii="Trebuchet MS" w:hAnsi="Trebuchet MS"/>
          <w:sz w:val="20"/>
        </w:rPr>
        <w:t>devět</w:t>
      </w:r>
      <w:r>
        <w:rPr>
          <w:rFonts w:ascii="Trebuchet MS" w:hAnsi="Trebuchet MS"/>
          <w:sz w:val="20"/>
        </w:rPr>
        <w:t xml:space="preserve"> odborníků pro každou prioritní osu zastupujících všechny členské státy zapojené do programu CENTRAL EUROPE). Tyto pohovory přinesly cenná zjištění, která byla dále zapracována do intervenční logiky programu, a na jejich základě byla také vypracována hlavní kritéria pro ukazatele výsledků. </w:t>
      </w:r>
    </w:p>
    <w:p w:rsidR="009D674E" w:rsidRDefault="009D674E" w:rsidP="00730C3F">
      <w:pPr>
        <w:jc w:val="both"/>
        <w:rPr>
          <w:rFonts w:ascii="Trebuchet MS" w:hAnsi="Trebuchet MS"/>
          <w:sz w:val="20"/>
        </w:rPr>
      </w:pPr>
      <w:r>
        <w:rPr>
          <w:rFonts w:ascii="Trebuchet MS" w:hAnsi="Trebuchet MS"/>
          <w:sz w:val="20"/>
        </w:rPr>
        <w:t>Podrobný postup</w:t>
      </w:r>
      <w:r w:rsidR="00073183">
        <w:rPr>
          <w:rFonts w:ascii="Trebuchet MS" w:hAnsi="Trebuchet MS"/>
          <w:sz w:val="20"/>
        </w:rPr>
        <w:t xml:space="preserve"> p</w:t>
      </w:r>
      <w:r w:rsidR="00B773E8">
        <w:rPr>
          <w:rFonts w:ascii="Trebuchet MS" w:hAnsi="Trebuchet MS"/>
          <w:sz w:val="20"/>
        </w:rPr>
        <w:t>ro průzkumy</w:t>
      </w:r>
      <w:r w:rsidR="00AC5C11">
        <w:rPr>
          <w:rFonts w:ascii="Trebuchet MS" w:hAnsi="Trebuchet MS"/>
          <w:sz w:val="20"/>
        </w:rPr>
        <w:t xml:space="preserve"> a skupinové diskuse</w:t>
      </w:r>
      <w:r>
        <w:rPr>
          <w:rFonts w:ascii="Trebuchet MS" w:hAnsi="Trebuchet MS"/>
          <w:sz w:val="20"/>
        </w:rPr>
        <w:t xml:space="preserve">, </w:t>
      </w:r>
      <w:r w:rsidR="006A5B4E">
        <w:rPr>
          <w:rFonts w:ascii="Trebuchet MS" w:hAnsi="Trebuchet MS"/>
          <w:sz w:val="20"/>
        </w:rPr>
        <w:t xml:space="preserve">jakož i </w:t>
      </w:r>
      <w:r w:rsidR="00073183">
        <w:rPr>
          <w:rFonts w:ascii="Trebuchet MS" w:hAnsi="Trebuchet MS"/>
          <w:sz w:val="20"/>
        </w:rPr>
        <w:t xml:space="preserve">požadované </w:t>
      </w:r>
      <w:r>
        <w:rPr>
          <w:rFonts w:ascii="Trebuchet MS" w:hAnsi="Trebuchet MS"/>
          <w:sz w:val="20"/>
        </w:rPr>
        <w:t>profily odborníků i časov</w:t>
      </w:r>
      <w:r w:rsidR="00073183">
        <w:rPr>
          <w:rFonts w:ascii="Trebuchet MS" w:hAnsi="Trebuchet MS"/>
          <w:sz w:val="20"/>
        </w:rPr>
        <w:t>á osa</w:t>
      </w:r>
      <w:r w:rsidR="0019232E">
        <w:rPr>
          <w:rFonts w:ascii="Trebuchet MS" w:hAnsi="Trebuchet MS"/>
          <w:sz w:val="20"/>
        </w:rPr>
        <w:t xml:space="preserve"> </w:t>
      </w:r>
      <w:r w:rsidR="006A5B4E">
        <w:rPr>
          <w:rFonts w:ascii="Trebuchet MS" w:hAnsi="Trebuchet MS"/>
          <w:sz w:val="20"/>
        </w:rPr>
        <w:t>bud</w:t>
      </w:r>
      <w:r w:rsidR="0019232E">
        <w:rPr>
          <w:rFonts w:ascii="Trebuchet MS" w:hAnsi="Trebuchet MS"/>
          <w:sz w:val="20"/>
        </w:rPr>
        <w:t>ou definovány ve specializovaném metodologickém konceptu</w:t>
      </w:r>
      <w:r w:rsidR="006A5B4E">
        <w:rPr>
          <w:rFonts w:ascii="Trebuchet MS" w:hAnsi="Trebuchet MS"/>
          <w:sz w:val="20"/>
        </w:rPr>
        <w:t xml:space="preserve">, který bude součástí </w:t>
      </w:r>
      <w:r w:rsidR="0019232E">
        <w:rPr>
          <w:rFonts w:ascii="Trebuchet MS" w:hAnsi="Trebuchet MS"/>
          <w:sz w:val="20"/>
        </w:rPr>
        <w:t>plán</w:t>
      </w:r>
      <w:r w:rsidR="006A5B4E">
        <w:rPr>
          <w:rFonts w:ascii="Trebuchet MS" w:hAnsi="Trebuchet MS"/>
          <w:sz w:val="20"/>
        </w:rPr>
        <w:t>u</w:t>
      </w:r>
      <w:r w:rsidR="0019232E">
        <w:rPr>
          <w:rFonts w:ascii="Trebuchet MS" w:hAnsi="Trebuchet MS"/>
          <w:sz w:val="20"/>
        </w:rPr>
        <w:t xml:space="preserve"> </w:t>
      </w:r>
      <w:r>
        <w:rPr>
          <w:rFonts w:ascii="Trebuchet MS" w:hAnsi="Trebuchet MS"/>
          <w:sz w:val="20"/>
        </w:rPr>
        <w:t xml:space="preserve">hodnocení programu CENTRAL EUROPE, který bude předložen ke schválení monitorovacímu výboru programu CENTRAL EUROPE. </w:t>
      </w:r>
    </w:p>
    <w:p w:rsidR="002A429E" w:rsidRDefault="002A429E" w:rsidP="00730C3F">
      <w:pPr>
        <w:jc w:val="both"/>
        <w:rPr>
          <w:rFonts w:ascii="Trebuchet MS" w:hAnsi="Trebuchet MS"/>
          <w:b/>
          <w:bCs/>
          <w:sz w:val="20"/>
          <w:u w:val="single"/>
        </w:rPr>
      </w:pPr>
      <w:r>
        <w:rPr>
          <w:rFonts w:ascii="Trebuchet MS" w:hAnsi="Trebuchet MS"/>
          <w:b/>
          <w:bCs/>
          <w:sz w:val="20"/>
          <w:u w:val="single"/>
        </w:rPr>
        <w:t>Prioritní osa 5 (</w:t>
      </w:r>
      <w:proofErr w:type="spellStart"/>
      <w:r>
        <w:rPr>
          <w:rFonts w:ascii="Trebuchet MS" w:hAnsi="Trebuchet MS"/>
          <w:b/>
          <w:bCs/>
          <w:sz w:val="20"/>
          <w:u w:val="single"/>
        </w:rPr>
        <w:t>TP</w:t>
      </w:r>
      <w:proofErr w:type="spellEnd"/>
      <w:r>
        <w:rPr>
          <w:rFonts w:ascii="Trebuchet MS" w:hAnsi="Trebuchet MS"/>
          <w:b/>
          <w:bCs/>
          <w:sz w:val="20"/>
          <w:u w:val="single"/>
        </w:rPr>
        <w:t>)</w:t>
      </w:r>
    </w:p>
    <w:p w:rsidR="002A429E" w:rsidRDefault="00EE0816" w:rsidP="00730C3F">
      <w:pPr>
        <w:jc w:val="both"/>
        <w:rPr>
          <w:rFonts w:ascii="Trebuchet MS" w:hAnsi="Trebuchet MS"/>
          <w:sz w:val="20"/>
        </w:rPr>
      </w:pPr>
      <w:r>
        <w:rPr>
          <w:rFonts w:ascii="Trebuchet MS" w:hAnsi="Trebuchet MS"/>
          <w:sz w:val="20"/>
        </w:rPr>
        <w:t>V rámci priority 5 „Technická pomoc“ se program zaměřuje na efektivní implementaci programu vycházející z řádného řízení programu, adekvátního zapojení relevantních partnerů a dostatečné kapacity jak žadatelů, tak příjemců pro účast v programu. Akce realizované v rámci priority 5 proto souvisejí jak se splněním regulatorních požadavků, tak s podporou a budováním kapacit všech zainteresovaných subjektů zapojených do životního cyklu projektu (tj. od žadatelů po příjemce).</w:t>
      </w:r>
    </w:p>
    <w:p w:rsidR="00B3524A" w:rsidRDefault="00B3524A" w:rsidP="00730C3F">
      <w:pPr>
        <w:jc w:val="both"/>
        <w:rPr>
          <w:rFonts w:ascii="Trebuchet MS" w:hAnsi="Trebuchet MS"/>
          <w:sz w:val="20"/>
        </w:rPr>
      </w:pPr>
      <w:r>
        <w:rPr>
          <w:rFonts w:ascii="Trebuchet MS" w:hAnsi="Trebuchet MS"/>
          <w:sz w:val="20"/>
        </w:rPr>
        <w:t xml:space="preserve">Plnění regulatorních požadavků na řízení programu se monitoruje prostřednictvím mechanismů, které jsou zavedeny bez ohledu na rámec ukazatelů výsledků programu (např. systém výstupních ukazatelů programu, hodnocení programu, zasílání výročních zpráv Evropské komisi, systémové audity a audity </w:t>
      </w:r>
      <w:r w:rsidR="003556D7">
        <w:rPr>
          <w:rFonts w:ascii="Trebuchet MS" w:hAnsi="Trebuchet MS"/>
          <w:sz w:val="20"/>
        </w:rPr>
        <w:t xml:space="preserve">operací </w:t>
      </w:r>
      <w:r>
        <w:rPr>
          <w:rFonts w:ascii="Trebuchet MS" w:hAnsi="Trebuchet MS"/>
          <w:sz w:val="20"/>
        </w:rPr>
        <w:t xml:space="preserve">atd.). Dále se bude monitorovat úroveň spokojenosti s řízením programu (včetně adekvátního zapojení relevantních partnerů na úrovni programu) a </w:t>
      </w:r>
      <w:r w:rsidR="003556D7">
        <w:rPr>
          <w:rFonts w:ascii="Trebuchet MS" w:hAnsi="Trebuchet MS"/>
          <w:sz w:val="20"/>
        </w:rPr>
        <w:t>stav</w:t>
      </w:r>
      <w:r>
        <w:rPr>
          <w:rFonts w:ascii="Trebuchet MS" w:hAnsi="Trebuchet MS"/>
          <w:sz w:val="20"/>
        </w:rPr>
        <w:t xml:space="preserve"> kapacit žadatelů a příjemců, jak je popsáno v následujících odstavcích.</w:t>
      </w:r>
    </w:p>
    <w:p w:rsidR="00B3524A" w:rsidRDefault="00B3524A" w:rsidP="00730C3F">
      <w:pPr>
        <w:jc w:val="both"/>
        <w:rPr>
          <w:rFonts w:ascii="Trebuchet MS" w:hAnsi="Trebuchet MS"/>
          <w:sz w:val="20"/>
        </w:rPr>
      </w:pPr>
      <w:r>
        <w:rPr>
          <w:rFonts w:ascii="Trebuchet MS" w:hAnsi="Trebuchet MS"/>
          <w:sz w:val="20"/>
        </w:rPr>
        <w:t xml:space="preserve">Spokojenost příjemců (ukazatel výsledků 5.1) souvisí s podporou programu </w:t>
      </w:r>
      <w:r w:rsidR="00945A8B">
        <w:rPr>
          <w:rFonts w:ascii="Trebuchet MS" w:hAnsi="Trebuchet MS"/>
          <w:sz w:val="20"/>
        </w:rPr>
        <w:t xml:space="preserve">uplatňovanou na implementaci projektů, s efektivní komunikací mezi programem, příjemci a relevantními partnery, jakož i se sníženou administrativní zátěží a zkráceným časovým rámcem pro platby. </w:t>
      </w:r>
      <w:r w:rsidR="00150BF7">
        <w:rPr>
          <w:rFonts w:ascii="Trebuchet MS" w:hAnsi="Trebuchet MS"/>
          <w:sz w:val="20"/>
        </w:rPr>
        <w:t>Údaje</w:t>
      </w:r>
      <w:r w:rsidR="00945A8B">
        <w:rPr>
          <w:rFonts w:ascii="Trebuchet MS" w:hAnsi="Trebuchet MS"/>
          <w:sz w:val="20"/>
        </w:rPr>
        <w:t xml:space="preserve"> týkající se úrovně spokojenosti příjemců se získávají prostřednictvím strukturovaných průzkumů zaměřených na partnery projektu, jejichž cílem je jak nastavení výchozích hodnot, tak měření dosaženého pokroku.</w:t>
      </w:r>
    </w:p>
    <w:p w:rsidR="00945A8B" w:rsidRDefault="00150BF7" w:rsidP="00730C3F">
      <w:pPr>
        <w:jc w:val="both"/>
        <w:rPr>
          <w:rFonts w:ascii="Trebuchet MS" w:hAnsi="Trebuchet MS"/>
          <w:sz w:val="20"/>
        </w:rPr>
      </w:pPr>
      <w:r>
        <w:rPr>
          <w:rFonts w:ascii="Trebuchet MS" w:hAnsi="Trebuchet MS"/>
          <w:sz w:val="20"/>
        </w:rPr>
        <w:t>Údaje</w:t>
      </w:r>
      <w:r w:rsidR="00945A8B">
        <w:rPr>
          <w:rFonts w:ascii="Trebuchet MS" w:hAnsi="Trebuchet MS"/>
          <w:sz w:val="20"/>
        </w:rPr>
        <w:t xml:space="preserve"> související s informovaností relevantních partnerů včetně potenciálních žadatelů (odkaz na ukazatel výsledků 5.2.1) se shromažďují prostřednictvím analýzy </w:t>
      </w:r>
      <w:r w:rsidR="00986D5A" w:rsidRPr="00150BF7">
        <w:rPr>
          <w:rFonts w:ascii="Trebuchet MS" w:hAnsi="Trebuchet MS"/>
          <w:sz w:val="20"/>
        </w:rPr>
        <w:t>dosahu</w:t>
      </w:r>
      <w:r w:rsidRPr="00150BF7">
        <w:rPr>
          <w:rFonts w:ascii="Trebuchet MS" w:hAnsi="Trebuchet MS"/>
          <w:sz w:val="20"/>
        </w:rPr>
        <w:t xml:space="preserve"> </w:t>
      </w:r>
      <w:r>
        <w:rPr>
          <w:rFonts w:ascii="Trebuchet MS" w:hAnsi="Trebuchet MS"/>
          <w:sz w:val="20"/>
        </w:rPr>
        <w:t>digitálních médií</w:t>
      </w:r>
      <w:r w:rsidR="00945A8B">
        <w:rPr>
          <w:rStyle w:val="Znakapoznpodarou"/>
          <w:rFonts w:ascii="Trebuchet MS" w:hAnsi="Trebuchet MS"/>
          <w:sz w:val="20"/>
        </w:rPr>
        <w:footnoteReference w:id="4"/>
      </w:r>
      <w:r w:rsidR="00945A8B">
        <w:rPr>
          <w:rFonts w:ascii="Trebuchet MS" w:hAnsi="Trebuchet MS"/>
          <w:sz w:val="20"/>
        </w:rPr>
        <w:t xml:space="preserve"> a dosahu prostřednictvím akcí. Výchozí údaje, jakož i údaje určené k měření dosaženého pokroku se odvozují z analýzy ročního dosahu digitálních komunikačních kanálů programu a dosahu programu na akcích organizovaných </w:t>
      </w:r>
      <w:r w:rsidR="00E57939">
        <w:rPr>
          <w:rFonts w:ascii="Trebuchet MS" w:hAnsi="Trebuchet MS"/>
          <w:sz w:val="20"/>
        </w:rPr>
        <w:t xml:space="preserve">vybranými programovými orgány (tj. </w:t>
      </w:r>
      <w:proofErr w:type="spellStart"/>
      <w:r w:rsidR="00E57939">
        <w:rPr>
          <w:rFonts w:ascii="Trebuchet MS" w:hAnsi="Trebuchet MS"/>
          <w:sz w:val="20"/>
        </w:rPr>
        <w:t>ŘO</w:t>
      </w:r>
      <w:proofErr w:type="spellEnd"/>
      <w:r w:rsidR="00E57939">
        <w:rPr>
          <w:rFonts w:ascii="Trebuchet MS" w:hAnsi="Trebuchet MS"/>
          <w:sz w:val="20"/>
        </w:rPr>
        <w:t>/SS a síť kontaktních míst) a na akcích, jichž se tyto programové orgány aktivně účastní.</w:t>
      </w:r>
    </w:p>
    <w:p w:rsidR="00E57939" w:rsidRDefault="00E57939" w:rsidP="00730C3F">
      <w:pPr>
        <w:jc w:val="both"/>
        <w:rPr>
          <w:rFonts w:ascii="Trebuchet MS" w:hAnsi="Trebuchet MS"/>
          <w:sz w:val="20"/>
        </w:rPr>
      </w:pPr>
      <w:r>
        <w:rPr>
          <w:rFonts w:ascii="Trebuchet MS" w:hAnsi="Trebuchet MS"/>
          <w:sz w:val="20"/>
        </w:rPr>
        <w:lastRenderedPageBreak/>
        <w:t>Údaje o znalostech žadatelů (odkaz na ukazatel výsledků 5.2.1) bud</w:t>
      </w:r>
      <w:r w:rsidR="00CE482B">
        <w:rPr>
          <w:rFonts w:ascii="Trebuchet MS" w:hAnsi="Trebuchet MS"/>
          <w:sz w:val="20"/>
        </w:rPr>
        <w:t>ou</w:t>
      </w:r>
      <w:r>
        <w:rPr>
          <w:rFonts w:ascii="Trebuchet MS" w:hAnsi="Trebuchet MS"/>
          <w:sz w:val="20"/>
        </w:rPr>
        <w:t xml:space="preserve"> založen</w:t>
      </w:r>
      <w:r w:rsidR="00CE482B">
        <w:rPr>
          <w:rFonts w:ascii="Trebuchet MS" w:hAnsi="Trebuchet MS"/>
          <w:sz w:val="20"/>
        </w:rPr>
        <w:t>y</w:t>
      </w:r>
      <w:r>
        <w:rPr>
          <w:rFonts w:ascii="Trebuchet MS" w:hAnsi="Trebuchet MS"/>
          <w:sz w:val="20"/>
        </w:rPr>
        <w:t xml:space="preserve"> na hodnocení situace pro období programu CENTRAL EUROPE 2007-2013 a budou se shromažďovat prostřednictvím strukturovaných průzkumů. Zejména výchozí hodnoty se budou odvozovat z analýzy (provedené roku 2014) kvalitativních informací poskytnutých v rámci nezávislého hodnocení programu CENTRAL EUROPE 2007-2013 z hlediska podpory související s žádostmi (např. manuály žádostí, nástroje žádostí atd.), jakož i z analýzy (</w:t>
      </w:r>
      <w:r w:rsidR="00CE02FB">
        <w:rPr>
          <w:rFonts w:ascii="Trebuchet MS" w:hAnsi="Trebuchet MS"/>
          <w:sz w:val="20"/>
        </w:rPr>
        <w:t xml:space="preserve">která bude </w:t>
      </w:r>
      <w:r>
        <w:rPr>
          <w:rFonts w:ascii="Trebuchet MS" w:hAnsi="Trebuchet MS"/>
          <w:sz w:val="20"/>
        </w:rPr>
        <w:t>proveden</w:t>
      </w:r>
      <w:r w:rsidR="00CE02FB">
        <w:rPr>
          <w:rFonts w:ascii="Trebuchet MS" w:hAnsi="Trebuchet MS"/>
          <w:sz w:val="20"/>
        </w:rPr>
        <w:t>a v</w:t>
      </w:r>
      <w:r>
        <w:rPr>
          <w:rFonts w:ascii="Trebuchet MS" w:hAnsi="Trebuchet MS"/>
          <w:sz w:val="20"/>
        </w:rPr>
        <w:t xml:space="preserve"> ro</w:t>
      </w:r>
      <w:r w:rsidR="00CE02FB">
        <w:rPr>
          <w:rFonts w:ascii="Trebuchet MS" w:hAnsi="Trebuchet MS"/>
          <w:sz w:val="20"/>
        </w:rPr>
        <w:t>ce</w:t>
      </w:r>
      <w:r>
        <w:rPr>
          <w:rFonts w:ascii="Trebuchet MS" w:hAnsi="Trebuchet MS"/>
          <w:sz w:val="20"/>
        </w:rPr>
        <w:t xml:space="preserve"> 2014) </w:t>
      </w:r>
      <w:proofErr w:type="spellStart"/>
      <w:r>
        <w:rPr>
          <w:rFonts w:ascii="Trebuchet MS" w:hAnsi="Trebuchet MS"/>
          <w:sz w:val="20"/>
        </w:rPr>
        <w:t>semikvantitativních</w:t>
      </w:r>
      <w:proofErr w:type="spellEnd"/>
      <w:r>
        <w:rPr>
          <w:rFonts w:ascii="Trebuchet MS" w:hAnsi="Trebuchet MS"/>
          <w:sz w:val="20"/>
        </w:rPr>
        <w:t xml:space="preserve"> údajů shromážděných ohledně programových akcí pro hlavní žadatele programu CENTRAL EUROPE 2007-2013. </w:t>
      </w:r>
      <w:r w:rsidR="00CE482B">
        <w:rPr>
          <w:rFonts w:ascii="Trebuchet MS" w:hAnsi="Trebuchet MS"/>
          <w:sz w:val="20"/>
        </w:rPr>
        <w:t xml:space="preserve">Za účelem měření dosaženého pokroku budou hlavní žadatelé přímo osloveni prostřednictvím stejného průzkumu (s využitím </w:t>
      </w:r>
      <w:proofErr w:type="spellStart"/>
      <w:r w:rsidR="00CE482B">
        <w:rPr>
          <w:rFonts w:ascii="Trebuchet MS" w:hAnsi="Trebuchet MS"/>
          <w:sz w:val="20"/>
        </w:rPr>
        <w:t>semikvantitativního</w:t>
      </w:r>
      <w:proofErr w:type="spellEnd"/>
      <w:r w:rsidR="00CE482B">
        <w:rPr>
          <w:rFonts w:ascii="Trebuchet MS" w:hAnsi="Trebuchet MS"/>
          <w:sz w:val="20"/>
        </w:rPr>
        <w:t xml:space="preserve"> přístupu, kdy se podporuje kvalitativní hodnocení systémem kvantitativního bodování na stupnici od 1 do 5) v různých fázích implementace programu, což umožní shromažďovat údaje a provádět kvantitativní analýzy.</w:t>
      </w:r>
    </w:p>
    <w:p w:rsidR="00CE482B" w:rsidRDefault="00CE482B" w:rsidP="00730C3F">
      <w:pPr>
        <w:jc w:val="both"/>
        <w:rPr>
          <w:rFonts w:ascii="Trebuchet MS" w:hAnsi="Trebuchet MS"/>
          <w:sz w:val="20"/>
        </w:rPr>
      </w:pPr>
      <w:r>
        <w:rPr>
          <w:rFonts w:ascii="Trebuchet MS" w:hAnsi="Trebuchet MS"/>
          <w:sz w:val="20"/>
        </w:rPr>
        <w:t xml:space="preserve">Údaje o znalostech příjemců (ukazatel výsledků 5.2.2) budou shromažďovány prostřednictvím strukturovaných průzkumů. Výchozí hodnoty se odvozují z úvodního průzkumu v roce 2014 zaměřeného na partnery projektů programu CENTRAL EUROPE 2007-2013. Průzkumy představují semikvantitativní přístup, kdy je kvalitativní hodnocení podpořeno systémem kvantitativního bodování na stupnici od 1 do 5. Za účelem měření dosaženého pokroku budou </w:t>
      </w:r>
      <w:r w:rsidR="00CE02FB">
        <w:rPr>
          <w:rFonts w:ascii="Trebuchet MS" w:hAnsi="Trebuchet MS"/>
          <w:sz w:val="20"/>
        </w:rPr>
        <w:t>partneři projektu</w:t>
      </w:r>
      <w:r>
        <w:rPr>
          <w:rFonts w:ascii="Trebuchet MS" w:hAnsi="Trebuchet MS"/>
          <w:sz w:val="20"/>
        </w:rPr>
        <w:t xml:space="preserve"> přímo osloveni prostřednictvím stejného průzkumu v různých fázích implementace programu, což umožní shromažďovat údaje a provádět kvantitativní analýzy.</w:t>
      </w:r>
    </w:p>
    <w:p w:rsidR="00CE482B" w:rsidRDefault="00CE482B" w:rsidP="00730C3F">
      <w:pPr>
        <w:jc w:val="both"/>
        <w:rPr>
          <w:rFonts w:ascii="Trebuchet MS" w:hAnsi="Trebuchet MS"/>
          <w:sz w:val="20"/>
        </w:rPr>
      </w:pPr>
      <w:r>
        <w:rPr>
          <w:rFonts w:ascii="Trebuchet MS" w:hAnsi="Trebuchet MS"/>
          <w:sz w:val="20"/>
        </w:rPr>
        <w:t xml:space="preserve">Všechna výše uvedená </w:t>
      </w:r>
      <w:r w:rsidR="00CE02FB">
        <w:rPr>
          <w:rFonts w:ascii="Trebuchet MS" w:hAnsi="Trebuchet MS"/>
          <w:sz w:val="20"/>
        </w:rPr>
        <w:t>měř</w:t>
      </w:r>
      <w:r>
        <w:rPr>
          <w:rFonts w:ascii="Trebuchet MS" w:hAnsi="Trebuchet MS"/>
          <w:sz w:val="20"/>
        </w:rPr>
        <w:t>ení pokroku se budou realizovat v různých fázích implementace programu zmíněných v předchozí kapitole věnované prioritám 1-4.</w:t>
      </w:r>
    </w:p>
    <w:p w:rsidR="00CE482B" w:rsidRDefault="00CF6D18" w:rsidP="00730C3F">
      <w:pPr>
        <w:jc w:val="both"/>
        <w:rPr>
          <w:rFonts w:ascii="Trebuchet MS" w:hAnsi="Trebuchet MS"/>
          <w:sz w:val="20"/>
        </w:rPr>
      </w:pPr>
      <w:r>
        <w:rPr>
          <w:rFonts w:ascii="Trebuchet MS" w:hAnsi="Trebuchet MS"/>
          <w:sz w:val="20"/>
        </w:rPr>
        <w:t>Detailní postupy budou definovány v</w:t>
      </w:r>
      <w:r w:rsidR="00253D3B">
        <w:rPr>
          <w:rFonts w:ascii="Trebuchet MS" w:hAnsi="Trebuchet MS"/>
          <w:sz w:val="20"/>
        </w:rPr>
        <w:t>e</w:t>
      </w:r>
      <w:r>
        <w:rPr>
          <w:rFonts w:ascii="Trebuchet MS" w:hAnsi="Trebuchet MS"/>
          <w:sz w:val="20"/>
        </w:rPr>
        <w:t xml:space="preserve"> speciálním metodickém konceptu, který bude součástí plánu hodnocení programu </w:t>
      </w:r>
      <w:r w:rsidR="00253D3B">
        <w:rPr>
          <w:rFonts w:ascii="Trebuchet MS" w:hAnsi="Trebuchet MS"/>
          <w:sz w:val="20"/>
        </w:rPr>
        <w:t>CENTRAL EUROPE 20</w:t>
      </w:r>
      <w:r w:rsidR="00CE02FB">
        <w:rPr>
          <w:rFonts w:ascii="Trebuchet MS" w:hAnsi="Trebuchet MS"/>
          <w:sz w:val="20"/>
        </w:rPr>
        <w:t>20</w:t>
      </w:r>
      <w:r>
        <w:rPr>
          <w:rFonts w:ascii="Trebuchet MS" w:hAnsi="Trebuchet MS"/>
          <w:sz w:val="20"/>
        </w:rPr>
        <w:t xml:space="preserve"> </w:t>
      </w:r>
      <w:proofErr w:type="gramStart"/>
      <w:r>
        <w:rPr>
          <w:rFonts w:ascii="Trebuchet MS" w:hAnsi="Trebuchet MS"/>
          <w:sz w:val="20"/>
        </w:rPr>
        <w:t>schvalova</w:t>
      </w:r>
      <w:r w:rsidR="00253D3B">
        <w:rPr>
          <w:rFonts w:ascii="Trebuchet MS" w:hAnsi="Trebuchet MS"/>
          <w:sz w:val="20"/>
        </w:rPr>
        <w:t>ném</w:t>
      </w:r>
      <w:proofErr w:type="gramEnd"/>
      <w:r>
        <w:rPr>
          <w:rFonts w:ascii="Trebuchet MS" w:hAnsi="Trebuchet MS"/>
          <w:sz w:val="20"/>
        </w:rPr>
        <w:t xml:space="preserve"> monitorovací</w:t>
      </w:r>
      <w:r w:rsidR="00253D3B">
        <w:rPr>
          <w:rFonts w:ascii="Trebuchet MS" w:hAnsi="Trebuchet MS"/>
          <w:sz w:val="20"/>
        </w:rPr>
        <w:t>m</w:t>
      </w:r>
      <w:r>
        <w:rPr>
          <w:rFonts w:ascii="Trebuchet MS" w:hAnsi="Trebuchet MS"/>
          <w:sz w:val="20"/>
        </w:rPr>
        <w:t xml:space="preserve"> výbor</w:t>
      </w:r>
      <w:r w:rsidR="00253D3B">
        <w:rPr>
          <w:rFonts w:ascii="Trebuchet MS" w:hAnsi="Trebuchet MS"/>
          <w:sz w:val="20"/>
        </w:rPr>
        <w:t>em</w:t>
      </w:r>
      <w:r>
        <w:rPr>
          <w:rFonts w:ascii="Trebuchet MS" w:hAnsi="Trebuchet MS"/>
          <w:sz w:val="20"/>
        </w:rPr>
        <w:t xml:space="preserve"> programu CENTRAL EUROPE.</w:t>
      </w:r>
    </w:p>
    <w:p w:rsidR="00EE0816" w:rsidRPr="00EE0816" w:rsidRDefault="00EE0816" w:rsidP="00730C3F">
      <w:pPr>
        <w:jc w:val="both"/>
        <w:rPr>
          <w:rFonts w:ascii="Trebuchet MS" w:hAnsi="Trebuchet MS"/>
          <w:sz w:val="20"/>
          <w:szCs w:val="20"/>
        </w:rPr>
      </w:pPr>
    </w:p>
    <w:p w:rsidR="009D674E" w:rsidRPr="00806928" w:rsidRDefault="009D674E" w:rsidP="00730C3F">
      <w:pPr>
        <w:jc w:val="both"/>
        <w:rPr>
          <w:rFonts w:ascii="Trebuchet MS" w:hAnsi="Trebuchet MS"/>
          <w:sz w:val="20"/>
          <w:szCs w:val="20"/>
        </w:rPr>
      </w:pPr>
    </w:p>
    <w:p w:rsidR="009D674E" w:rsidRPr="00B029A5" w:rsidRDefault="009D674E" w:rsidP="00244A18">
      <w:pPr>
        <w:jc w:val="both"/>
        <w:rPr>
          <w:rFonts w:ascii="Trebuchet MS" w:hAnsi="Trebuchet MS"/>
          <w:b/>
        </w:rPr>
      </w:pPr>
      <w:r>
        <w:rPr>
          <w:rFonts w:ascii="Trebuchet MS" w:hAnsi="Trebuchet MS"/>
          <w:b/>
        </w:rPr>
        <w:t xml:space="preserve">Vysvětlení ukazatelů výsledků a hlavních kritérií </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6"/>
        <w:gridCol w:w="4535"/>
        <w:gridCol w:w="2471"/>
      </w:tblGrid>
      <w:tr w:rsidR="009D674E" w:rsidRPr="00727829" w:rsidTr="00727829">
        <w:tc>
          <w:tcPr>
            <w:tcW w:w="2236" w:type="dxa"/>
            <w:shd w:val="clear" w:color="auto" w:fill="4F81BD"/>
            <w:vAlign w:val="center"/>
          </w:tcPr>
          <w:p w:rsidR="009D674E" w:rsidRPr="00727829" w:rsidRDefault="009D674E" w:rsidP="00727829">
            <w:pPr>
              <w:pStyle w:val="Text1"/>
              <w:spacing w:after="0" w:line="360" w:lineRule="auto"/>
              <w:ind w:left="0"/>
              <w:jc w:val="center"/>
              <w:rPr>
                <w:rFonts w:ascii="Trebuchet MS" w:hAnsi="Trebuchet MS"/>
                <w:b/>
                <w:bCs/>
                <w:color w:val="FFFFFF"/>
                <w:sz w:val="20"/>
              </w:rPr>
            </w:pPr>
            <w:r w:rsidRPr="00727829">
              <w:rPr>
                <w:rFonts w:ascii="Trebuchet MS" w:hAnsi="Trebuchet MS"/>
                <w:b/>
                <w:bCs/>
                <w:color w:val="FFFFFF"/>
                <w:sz w:val="20"/>
              </w:rPr>
              <w:t>Ukazatel výsledku</w:t>
            </w:r>
          </w:p>
        </w:tc>
        <w:tc>
          <w:tcPr>
            <w:tcW w:w="4535" w:type="dxa"/>
            <w:tcBorders>
              <w:top w:val="single" w:sz="8" w:space="0" w:color="4F81BD"/>
              <w:left w:val="single" w:sz="8" w:space="0" w:color="4F81BD"/>
              <w:right w:val="single" w:sz="8" w:space="0" w:color="4F81BD"/>
            </w:tcBorders>
            <w:shd w:val="clear" w:color="auto" w:fill="4F81BD"/>
            <w:vAlign w:val="center"/>
          </w:tcPr>
          <w:p w:rsidR="009D674E" w:rsidRPr="00727829" w:rsidRDefault="009D674E" w:rsidP="00727829">
            <w:pPr>
              <w:pStyle w:val="Text1"/>
              <w:spacing w:after="0" w:line="360" w:lineRule="auto"/>
              <w:ind w:left="0"/>
              <w:jc w:val="center"/>
              <w:rPr>
                <w:rFonts w:ascii="Trebuchet MS" w:hAnsi="Trebuchet MS"/>
                <w:b/>
                <w:bCs/>
                <w:color w:val="FFFFFF"/>
                <w:sz w:val="20"/>
              </w:rPr>
            </w:pPr>
            <w:r w:rsidRPr="00727829">
              <w:rPr>
                <w:rFonts w:ascii="Trebuchet MS" w:hAnsi="Trebuchet MS"/>
                <w:b/>
                <w:bCs/>
                <w:color w:val="FFFFFF"/>
                <w:sz w:val="20"/>
              </w:rPr>
              <w:t>Vysvětlení</w:t>
            </w:r>
          </w:p>
        </w:tc>
        <w:tc>
          <w:tcPr>
            <w:tcW w:w="2471" w:type="dxa"/>
            <w:shd w:val="clear" w:color="auto" w:fill="4F81BD"/>
            <w:vAlign w:val="center"/>
          </w:tcPr>
          <w:p w:rsidR="009D674E" w:rsidRPr="00727829" w:rsidRDefault="00870A0F" w:rsidP="00727829">
            <w:pPr>
              <w:pStyle w:val="Text1"/>
              <w:spacing w:after="0" w:line="360" w:lineRule="auto"/>
              <w:ind w:left="0"/>
              <w:jc w:val="center"/>
              <w:rPr>
                <w:rFonts w:ascii="Trebuchet MS" w:hAnsi="Trebuchet MS"/>
                <w:b/>
                <w:bCs/>
                <w:color w:val="FFFFFF"/>
                <w:sz w:val="20"/>
              </w:rPr>
            </w:pPr>
            <w:r>
              <w:rPr>
                <w:rFonts w:ascii="Trebuchet MS" w:hAnsi="Trebuchet MS"/>
                <w:b/>
                <w:bCs/>
                <w:color w:val="FFFFFF"/>
                <w:sz w:val="20"/>
              </w:rPr>
              <w:t>Hlavní</w:t>
            </w:r>
            <w:r w:rsidRPr="00727829">
              <w:rPr>
                <w:rFonts w:ascii="Trebuchet MS" w:hAnsi="Trebuchet MS"/>
                <w:b/>
                <w:bCs/>
                <w:color w:val="FFFFFF"/>
                <w:sz w:val="20"/>
              </w:rPr>
              <w:t xml:space="preserve"> </w:t>
            </w:r>
            <w:r w:rsidR="009D674E" w:rsidRPr="00727829">
              <w:rPr>
                <w:rFonts w:ascii="Trebuchet MS" w:hAnsi="Trebuchet MS"/>
                <w:b/>
                <w:bCs/>
                <w:color w:val="FFFFFF"/>
                <w:sz w:val="20"/>
              </w:rPr>
              <w:t>kritéria</w:t>
            </w:r>
          </w:p>
        </w:tc>
      </w:tr>
      <w:tr w:rsidR="009D674E" w:rsidRPr="00727829" w:rsidTr="00727829">
        <w:tc>
          <w:tcPr>
            <w:tcW w:w="2236" w:type="dxa"/>
            <w:tcBorders>
              <w:top w:val="single" w:sz="8" w:space="0" w:color="4F81BD"/>
              <w:left w:val="single" w:sz="8" w:space="0" w:color="4F81BD"/>
              <w:bottom w:val="single" w:sz="8" w:space="0" w:color="4F81BD"/>
            </w:tcBorders>
          </w:tcPr>
          <w:p w:rsidR="009D674E" w:rsidRPr="00727829" w:rsidRDefault="009D674E" w:rsidP="00727829">
            <w:pPr>
              <w:pStyle w:val="Text1"/>
              <w:spacing w:after="0"/>
              <w:ind w:left="360" w:hanging="360"/>
              <w:jc w:val="left"/>
              <w:rPr>
                <w:rFonts w:ascii="Trebuchet MS" w:hAnsi="Trebuchet MS"/>
                <w:b/>
                <w:bCs/>
                <w:sz w:val="20"/>
              </w:rPr>
            </w:pPr>
            <w:r w:rsidRPr="00727829">
              <w:rPr>
                <w:rFonts w:ascii="Trebuchet MS" w:hAnsi="Trebuchet MS"/>
                <w:b/>
                <w:bCs/>
                <w:sz w:val="20"/>
              </w:rPr>
              <w:t>1.1 Stav vazeb mezi aktéry systémů inovací v regionech střední Evropy</w:t>
            </w:r>
          </w:p>
        </w:tc>
        <w:tc>
          <w:tcPr>
            <w:tcW w:w="4535" w:type="dxa"/>
            <w:tcBorders>
              <w:top w:val="single" w:sz="8" w:space="0" w:color="4F81BD"/>
              <w:left w:val="single" w:sz="8" w:space="0" w:color="4F81BD"/>
              <w:bottom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 xml:space="preserve">Tento ukazatel měří </w:t>
            </w:r>
            <w:r w:rsidR="00C03E10">
              <w:rPr>
                <w:rFonts w:ascii="Trebuchet MS" w:hAnsi="Trebuchet MS"/>
                <w:sz w:val="20"/>
              </w:rPr>
              <w:t>míru</w:t>
            </w:r>
            <w:r w:rsidR="0019232E">
              <w:rPr>
                <w:rFonts w:ascii="Trebuchet MS" w:hAnsi="Trebuchet MS"/>
                <w:sz w:val="20"/>
              </w:rPr>
              <w:t xml:space="preserve"> a kvalitu </w:t>
            </w:r>
            <w:r w:rsidRPr="00727829">
              <w:rPr>
                <w:rFonts w:ascii="Trebuchet MS" w:hAnsi="Trebuchet MS"/>
                <w:sz w:val="20"/>
              </w:rPr>
              <w:t>vaz</w:t>
            </w:r>
            <w:r w:rsidR="0019232E">
              <w:rPr>
                <w:rFonts w:ascii="Trebuchet MS" w:hAnsi="Trebuchet MS"/>
                <w:sz w:val="20"/>
              </w:rPr>
              <w:t>e</w:t>
            </w:r>
            <w:r w:rsidRPr="00727829">
              <w:rPr>
                <w:rFonts w:ascii="Trebuchet MS" w:hAnsi="Trebuchet MS"/>
                <w:sz w:val="20"/>
              </w:rPr>
              <w:t xml:space="preserve">b mezi aktéry v rámci inovačního systému v konkrétním časovém bodě. Referenčním územím je celá oblast programu CENTRAL EUROPE, jak je definováno v příloze č. 3. </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Vazby je tedy třeba chápat následovně: Inovační aktivity firmy jsou částečně závislé na druhu a struktuře jejích vazeb na zdroje informací, znalostí, technologií, postupů a lidských a finančních zdrojů. Každá vazba spojuje inovační firmu s ostatními aktéry systému inovací: státními laboratořemi, vysokými školami, útvary pro tvorbu politik, regulátory, konkurenty, dodavateli a zákazníky. (UNESCO – Měření inovací, 2009).</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Systém inovací je třeba chápat jako „síť institucí ve veřejném a soukromém sektoru, jejichž aktivity a vzájemná interakce podněcují, dovážejí, modifikují a rozšiřují nové technologie (</w:t>
            </w:r>
            <w:proofErr w:type="spellStart"/>
            <w:r w:rsidRPr="00727829">
              <w:rPr>
                <w:rFonts w:ascii="Trebuchet MS" w:hAnsi="Trebuchet MS"/>
                <w:sz w:val="20"/>
              </w:rPr>
              <w:t>Freeman</w:t>
            </w:r>
            <w:proofErr w:type="spellEnd"/>
            <w:r w:rsidRPr="00727829">
              <w:rPr>
                <w:rFonts w:ascii="Trebuchet MS" w:hAnsi="Trebuchet MS"/>
                <w:sz w:val="20"/>
              </w:rPr>
              <w:t xml:space="preserve">, 1987)“. </w:t>
            </w:r>
          </w:p>
          <w:p w:rsidR="009D674E" w:rsidRPr="00727829" w:rsidRDefault="009D674E" w:rsidP="00727829">
            <w:pPr>
              <w:spacing w:before="120" w:after="120" w:line="240" w:lineRule="auto"/>
              <w:jc w:val="both"/>
              <w:rPr>
                <w:rFonts w:ascii="Trebuchet MS" w:hAnsi="Trebuchet MS"/>
                <w:sz w:val="20"/>
              </w:rPr>
            </w:pPr>
            <w:r w:rsidRPr="00727829">
              <w:rPr>
                <w:rFonts w:ascii="Trebuchet MS" w:hAnsi="Trebuchet MS"/>
                <w:sz w:val="20"/>
              </w:rPr>
              <w:lastRenderedPageBreak/>
              <w:t>Mezi aktéry systému inovací patří výzkumný a podnikatelský sektor, politici a veřejné orgány.</w:t>
            </w:r>
          </w:p>
        </w:tc>
        <w:tc>
          <w:tcPr>
            <w:tcW w:w="2471" w:type="dxa"/>
            <w:tcBorders>
              <w:top w:val="single" w:sz="8" w:space="0" w:color="4F81BD"/>
              <w:bottom w:val="single" w:sz="8" w:space="0" w:color="4F81BD"/>
              <w:right w:val="single" w:sz="8" w:space="0" w:color="4F81BD"/>
            </w:tcBorders>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lastRenderedPageBreak/>
              <w:t xml:space="preserve">Míra </w:t>
            </w:r>
            <w:r w:rsidR="00C03E10">
              <w:rPr>
                <w:rFonts w:ascii="Trebuchet MS" w:hAnsi="Trebuchet MS"/>
                <w:bCs/>
                <w:sz w:val="20"/>
              </w:rPr>
              <w:t>a kvalita spolupráce mezi aktéry v</w:t>
            </w:r>
            <w:r w:rsidR="00B773E8">
              <w:rPr>
                <w:rFonts w:ascii="Trebuchet MS" w:hAnsi="Trebuchet MS"/>
                <w:bCs/>
                <w:sz w:val="20"/>
              </w:rPr>
              <w:t xml:space="preserve"> rámci inovačních </w:t>
            </w:r>
            <w:r w:rsidR="00C03E10">
              <w:rPr>
                <w:rFonts w:ascii="Trebuchet MS" w:hAnsi="Trebuchet MS"/>
                <w:bCs/>
                <w:sz w:val="20"/>
              </w:rPr>
              <w:t>systém</w:t>
            </w:r>
            <w:r w:rsidR="00B773E8">
              <w:rPr>
                <w:rFonts w:ascii="Trebuchet MS" w:hAnsi="Trebuchet MS"/>
                <w:bCs/>
                <w:sz w:val="20"/>
              </w:rPr>
              <w:t>ů</w:t>
            </w:r>
            <w:r w:rsidR="00C03E10">
              <w:rPr>
                <w:rFonts w:ascii="Trebuchet MS" w:hAnsi="Trebuchet MS"/>
                <w:bCs/>
                <w:sz w:val="20"/>
              </w:rPr>
              <w:t xml:space="preserve">, jejímž výsledkem je </w:t>
            </w:r>
            <w:r w:rsidRPr="00727829">
              <w:rPr>
                <w:rFonts w:ascii="Trebuchet MS" w:hAnsi="Trebuchet MS"/>
                <w:bCs/>
                <w:sz w:val="20"/>
              </w:rPr>
              <w:t>přenos znalostí a technologií mezi výzkumnými institucemi a podniky (zejména MSP) v rámci regionů a mezi nimi</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vytváření nadnárodních klastrů a inovačních sítí (včetně MSP) a jejich internacionalizace</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dostupnosti služeb včetně finančních služeb </w:t>
            </w:r>
            <w:r w:rsidRPr="00727829">
              <w:rPr>
                <w:rFonts w:ascii="Trebuchet MS" w:hAnsi="Trebuchet MS"/>
                <w:bCs/>
                <w:sz w:val="20"/>
              </w:rPr>
              <w:lastRenderedPageBreak/>
              <w:t>podporujících inovace podniků, především MSP</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w:t>
            </w:r>
            <w:r w:rsidR="00CE02FB">
              <w:rPr>
                <w:rFonts w:ascii="Trebuchet MS" w:hAnsi="Trebuchet MS"/>
                <w:bCs/>
                <w:sz w:val="20"/>
              </w:rPr>
              <w:t xml:space="preserve">postoupení </w:t>
            </w:r>
            <w:r w:rsidRPr="00727829">
              <w:rPr>
                <w:rFonts w:ascii="Trebuchet MS" w:hAnsi="Trebuchet MS"/>
                <w:bCs/>
                <w:sz w:val="20"/>
              </w:rPr>
              <w:t>výsled</w:t>
            </w:r>
            <w:r w:rsidR="00CE02FB">
              <w:rPr>
                <w:rFonts w:ascii="Trebuchet MS" w:hAnsi="Trebuchet MS"/>
                <w:bCs/>
                <w:sz w:val="20"/>
              </w:rPr>
              <w:t>ků</w:t>
            </w:r>
            <w:r w:rsidRPr="00727829">
              <w:rPr>
                <w:rFonts w:ascii="Trebuchet MS" w:hAnsi="Trebuchet MS"/>
                <w:bCs/>
                <w:sz w:val="20"/>
              </w:rPr>
              <w:t xml:space="preserve"> projektu (včetně testovaných pilotních řešení)</w:t>
            </w:r>
            <w:r w:rsidR="00CE02FB">
              <w:rPr>
                <w:rFonts w:ascii="Trebuchet MS" w:hAnsi="Trebuchet MS"/>
                <w:bCs/>
                <w:sz w:val="20"/>
              </w:rPr>
              <w:t xml:space="preserve"> </w:t>
            </w:r>
            <w:r w:rsidRPr="00727829">
              <w:rPr>
                <w:rFonts w:ascii="Trebuchet MS" w:hAnsi="Trebuchet MS"/>
                <w:bCs/>
                <w:sz w:val="20"/>
              </w:rPr>
              <w:t>příslušným zainteresovaným stranám</w:t>
            </w:r>
          </w:p>
          <w:p w:rsidR="009D674E" w:rsidRPr="00727829" w:rsidRDefault="009D674E" w:rsidP="00727829">
            <w:pPr>
              <w:pStyle w:val="Text1"/>
              <w:spacing w:after="0"/>
              <w:ind w:left="317"/>
              <w:jc w:val="left"/>
              <w:rPr>
                <w:rFonts w:ascii="Trebuchet MS" w:hAnsi="Trebuchet MS"/>
                <w:b/>
                <w:bCs/>
                <w:sz w:val="20"/>
              </w:rPr>
            </w:pPr>
          </w:p>
        </w:tc>
      </w:tr>
      <w:tr w:rsidR="009D674E" w:rsidRPr="00727829" w:rsidTr="00727829">
        <w:tc>
          <w:tcPr>
            <w:tcW w:w="2236" w:type="dxa"/>
          </w:tcPr>
          <w:p w:rsidR="009D674E" w:rsidRPr="00727829" w:rsidRDefault="009D674E" w:rsidP="00727829">
            <w:pPr>
              <w:pStyle w:val="Text1"/>
              <w:spacing w:after="0"/>
              <w:ind w:left="360" w:hanging="360"/>
              <w:jc w:val="left"/>
              <w:rPr>
                <w:rFonts w:ascii="Trebuchet MS" w:hAnsi="Trebuchet MS"/>
                <w:b/>
                <w:bCs/>
                <w:sz w:val="20"/>
              </w:rPr>
            </w:pPr>
            <w:r w:rsidRPr="00727829">
              <w:rPr>
                <w:rFonts w:ascii="Trebuchet MS" w:hAnsi="Trebuchet MS"/>
                <w:b/>
                <w:bCs/>
                <w:sz w:val="20"/>
              </w:rPr>
              <w:lastRenderedPageBreak/>
              <w:t>1.2 Stav dovedností zaměstnanců a podnikatelských kompetencí, které jsou hnací silou hospodářských a sociální inovací v regionech střední Evropy</w:t>
            </w:r>
          </w:p>
        </w:tc>
        <w:tc>
          <w:tcPr>
            <w:tcW w:w="4535" w:type="dxa"/>
            <w:tcBorders>
              <w:left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Tento ukazatel měří dovednosti zaměstnanců a podnikatelů a jejich podnikatelské dovednosti v určitém časovém bodě. Referenčním územím je celá oblast programu CENTRAL EUROPE, jak je definováno v </w:t>
            </w:r>
            <w:r w:rsidR="00971105" w:rsidRPr="00B773E8">
              <w:rPr>
                <w:rFonts w:ascii="Trebuchet MS" w:hAnsi="Trebuchet MS"/>
                <w:sz w:val="20"/>
              </w:rPr>
              <w:t>p</w:t>
            </w:r>
            <w:r w:rsidRPr="00727829">
              <w:rPr>
                <w:rFonts w:ascii="Trebuchet MS" w:hAnsi="Trebuchet MS"/>
                <w:sz w:val="20"/>
              </w:rPr>
              <w:t>říloze č. 3.</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Dovednosti je třeba chápat jako „produktivní aktiva pracovní síly, která jsou získávána prostřednictvím učení se a vzdělávání (</w:t>
            </w:r>
            <w:proofErr w:type="spellStart"/>
            <w:r w:rsidRPr="00727829">
              <w:rPr>
                <w:rFonts w:ascii="Trebuchet MS" w:hAnsi="Trebuchet MS"/>
                <w:sz w:val="20"/>
              </w:rPr>
              <w:t>OECD</w:t>
            </w:r>
            <w:proofErr w:type="spellEnd"/>
            <w:r w:rsidRPr="00727829">
              <w:rPr>
                <w:rFonts w:ascii="Trebuchet MS" w:hAnsi="Trebuchet MS"/>
                <w:sz w:val="20"/>
              </w:rPr>
              <w:t>: Dovednosti pracovní síly a inovace, 2011).</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Soukromé podnikání je chápáno jako způsob myšlení a proces vytváření a rozvíjení ekonomické činnosti, který spočívá v ochotě přijímat rizika, kreativitě anebo inovaci s pevným řízením, v rámci nové nebo stávající organizace. (Evropská komise, Zelená kniha o soukromém podnikání v Evropě, 2003).</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Inovací se rozumí implementace nového nebo výrazně zdokonaleného výrobku (zboží či služby), popř. procesu, nové prodejní metody či nové organizační metody v obchodní praxi, na pracovišti či v rámci vnějších vztahů (</w:t>
            </w:r>
            <w:proofErr w:type="spellStart"/>
            <w:r w:rsidRPr="00727829">
              <w:rPr>
                <w:rFonts w:ascii="Trebuchet MS" w:hAnsi="Trebuchet MS"/>
                <w:sz w:val="20"/>
              </w:rPr>
              <w:t>OECD</w:t>
            </w:r>
            <w:proofErr w:type="spellEnd"/>
            <w:r w:rsidRPr="00727829">
              <w:rPr>
                <w:rFonts w:ascii="Trebuchet MS" w:hAnsi="Trebuchet MS"/>
                <w:sz w:val="20"/>
              </w:rPr>
              <w:t>, Osloský manuál: Metodika sběru a interpretace dat v oblasti inovací, 2005).</w:t>
            </w:r>
          </w:p>
          <w:p w:rsidR="009D674E" w:rsidRPr="00727829" w:rsidRDefault="009D674E" w:rsidP="00727829">
            <w:pPr>
              <w:pStyle w:val="Text1"/>
              <w:spacing w:before="120" w:after="120"/>
              <w:ind w:left="0"/>
              <w:rPr>
                <w:rFonts w:ascii="Trebuchet MS" w:hAnsi="Trebuchet MS"/>
                <w:sz w:val="20"/>
              </w:rPr>
            </w:pPr>
            <w:r w:rsidRPr="00727829">
              <w:rPr>
                <w:rFonts w:ascii="Trebuchet MS" w:hAnsi="Trebuchet MS"/>
                <w:sz w:val="20"/>
              </w:rPr>
              <w:t>Sociální inovace jsou nové myšlenky (produkty, služby a modely), které současně uspokojují sociální potřeby (účinněji než alternativy) a vytvářejí nové sociální vztahy nebo možno</w:t>
            </w:r>
            <w:r w:rsidR="00CA10A0">
              <w:rPr>
                <w:rFonts w:ascii="Trebuchet MS" w:hAnsi="Trebuchet MS"/>
                <w:sz w:val="20"/>
              </w:rPr>
              <w:t xml:space="preserve">sti spolupráce (Murray a kol.: </w:t>
            </w:r>
            <w:r w:rsidRPr="00727829">
              <w:rPr>
                <w:rFonts w:ascii="Trebuchet MS" w:hAnsi="Trebuchet MS"/>
                <w:sz w:val="20"/>
              </w:rPr>
              <w:t>Otevřená kniha sociálních inovací, 2010).</w:t>
            </w:r>
          </w:p>
        </w:tc>
        <w:tc>
          <w:tcPr>
            <w:tcW w:w="2471" w:type="dxa"/>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dovedností pracovní síly přizpůsobených potřebám trhu a inovačním procesům přispívajícím k regionálním strategiím inteligentní specializace</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podnikatelského způsobu myšlení a technických a řídících dovedností podnikatelů</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znalostí a dovedností zaměstnanců a soukromých podnikatelů potřebných pro sociální inovace</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w:t>
            </w:r>
            <w:r w:rsidR="00CE02FB">
              <w:rPr>
                <w:rFonts w:ascii="Trebuchet MS" w:hAnsi="Trebuchet MS"/>
                <w:bCs/>
                <w:sz w:val="20"/>
              </w:rPr>
              <w:t xml:space="preserve">postoupení </w:t>
            </w:r>
            <w:r w:rsidRPr="00727829">
              <w:rPr>
                <w:rFonts w:ascii="Trebuchet MS" w:hAnsi="Trebuchet MS"/>
                <w:bCs/>
                <w:sz w:val="20"/>
              </w:rPr>
              <w:t>výsled</w:t>
            </w:r>
            <w:r w:rsidR="00CE02FB">
              <w:rPr>
                <w:rFonts w:ascii="Trebuchet MS" w:hAnsi="Trebuchet MS"/>
                <w:bCs/>
                <w:sz w:val="20"/>
              </w:rPr>
              <w:t>ků</w:t>
            </w:r>
            <w:r w:rsidRPr="00727829">
              <w:rPr>
                <w:rFonts w:ascii="Trebuchet MS" w:hAnsi="Trebuchet MS"/>
                <w:bCs/>
                <w:sz w:val="20"/>
              </w:rPr>
              <w:t xml:space="preserve"> projektu (včetně testovaných pilotních řešení) příslušným zainteresovaným stranám</w:t>
            </w:r>
          </w:p>
          <w:p w:rsidR="009D674E" w:rsidRPr="00727829" w:rsidRDefault="009D674E" w:rsidP="00727829">
            <w:pPr>
              <w:pStyle w:val="Text1"/>
              <w:spacing w:after="0"/>
              <w:ind w:left="33"/>
              <w:jc w:val="left"/>
              <w:rPr>
                <w:rFonts w:ascii="Trebuchet MS" w:hAnsi="Trebuchet MS"/>
                <w:b/>
                <w:bCs/>
                <w:sz w:val="20"/>
              </w:rPr>
            </w:pPr>
          </w:p>
        </w:tc>
      </w:tr>
      <w:tr w:rsidR="009D674E" w:rsidRPr="00727829" w:rsidTr="00727829">
        <w:tc>
          <w:tcPr>
            <w:tcW w:w="2236" w:type="dxa"/>
            <w:tcBorders>
              <w:top w:val="single" w:sz="8" w:space="0" w:color="4F81BD"/>
              <w:left w:val="single" w:sz="8" w:space="0" w:color="4F81BD"/>
              <w:bottom w:val="single" w:sz="8" w:space="0" w:color="4F81BD"/>
            </w:tcBorders>
          </w:tcPr>
          <w:p w:rsidR="009D674E" w:rsidRPr="00727829" w:rsidRDefault="009D674E" w:rsidP="00727829">
            <w:pPr>
              <w:pStyle w:val="Text1"/>
              <w:spacing w:after="0"/>
              <w:ind w:left="360" w:hanging="360"/>
              <w:jc w:val="left"/>
              <w:rPr>
                <w:rFonts w:ascii="Trebuchet MS" w:hAnsi="Trebuchet MS"/>
                <w:b/>
                <w:bCs/>
                <w:sz w:val="20"/>
              </w:rPr>
            </w:pPr>
            <w:r w:rsidRPr="00727829">
              <w:rPr>
                <w:rFonts w:ascii="Trebuchet MS" w:hAnsi="Trebuchet MS"/>
                <w:b/>
                <w:bCs/>
                <w:sz w:val="20"/>
              </w:rPr>
              <w:t>2.1 Stav kapacit veřejného sektoru a souvisejících subjektů potřebných pro zvýšení energetické účinnosti a využívání energie z obnovitelných zdrojů ve veřejné infrastruktuře</w:t>
            </w:r>
          </w:p>
        </w:tc>
        <w:tc>
          <w:tcPr>
            <w:tcW w:w="4535" w:type="dxa"/>
            <w:tcBorders>
              <w:top w:val="single" w:sz="8" w:space="0" w:color="4F81BD"/>
              <w:left w:val="single" w:sz="8" w:space="0" w:color="4F81BD"/>
              <w:bottom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 xml:space="preserve">Tento </w:t>
            </w:r>
            <w:r w:rsidR="007913B7">
              <w:rPr>
                <w:rFonts w:ascii="Trebuchet MS" w:hAnsi="Trebuchet MS"/>
                <w:sz w:val="20"/>
              </w:rPr>
              <w:t>ukazatel</w:t>
            </w:r>
            <w:r w:rsidR="007913B7" w:rsidRPr="00727829">
              <w:rPr>
                <w:rFonts w:ascii="Trebuchet MS" w:hAnsi="Trebuchet MS"/>
                <w:sz w:val="20"/>
              </w:rPr>
              <w:t xml:space="preserve"> </w:t>
            </w:r>
            <w:r w:rsidRPr="00727829">
              <w:rPr>
                <w:rFonts w:ascii="Trebuchet MS" w:hAnsi="Trebuchet MS"/>
                <w:sz w:val="20"/>
              </w:rPr>
              <w:t>měří stav kapacit veřejného sektoru a souvisejících subjektů potřebných pro zvýšení energetické účinnosti a využívání energie z obnovitelných zdrojů ve veřejné infrastruktuře</w:t>
            </w:r>
            <w:r w:rsidR="00893AE0">
              <w:rPr>
                <w:rFonts w:ascii="Trebuchet MS" w:hAnsi="Trebuchet MS"/>
                <w:sz w:val="20"/>
              </w:rPr>
              <w:t>.</w:t>
            </w:r>
            <w:r w:rsidRPr="00727829">
              <w:rPr>
                <w:rFonts w:ascii="Trebuchet MS" w:hAnsi="Trebuchet MS"/>
                <w:sz w:val="20"/>
              </w:rPr>
              <w:t xml:space="preserve"> Referenčním územím je celá oblast programu CENTRAL EUROPE, jak je definováno v </w:t>
            </w:r>
            <w:r w:rsidR="00971105" w:rsidRPr="00B773E8">
              <w:rPr>
                <w:rFonts w:ascii="Trebuchet MS" w:hAnsi="Trebuchet MS"/>
                <w:sz w:val="20"/>
              </w:rPr>
              <w:t>p</w:t>
            </w:r>
            <w:r w:rsidRPr="00727829">
              <w:rPr>
                <w:rFonts w:ascii="Trebuchet MS" w:hAnsi="Trebuchet MS"/>
                <w:sz w:val="20"/>
              </w:rPr>
              <w:t xml:space="preserve">říloze č. 3. </w:t>
            </w:r>
          </w:p>
          <w:p w:rsidR="009D674E" w:rsidRPr="00727829" w:rsidRDefault="009D674E" w:rsidP="00727829">
            <w:pPr>
              <w:pStyle w:val="Text1"/>
              <w:spacing w:before="120" w:after="120"/>
              <w:ind w:left="0"/>
              <w:rPr>
                <w:rFonts w:ascii="Trebuchet MS" w:hAnsi="Trebuchet MS"/>
                <w:sz w:val="20"/>
              </w:rPr>
            </w:pPr>
            <w:r w:rsidRPr="00727829">
              <w:rPr>
                <w:rFonts w:ascii="Trebuchet MS" w:hAnsi="Trebuchet MS"/>
                <w:sz w:val="20"/>
              </w:rPr>
              <w:t xml:space="preserve">Zvyšování energetické účinnosti odkazuje </w:t>
            </w:r>
            <w:r w:rsidR="005452F2">
              <w:rPr>
                <w:rFonts w:ascii="Trebuchet MS" w:hAnsi="Trebuchet MS"/>
                <w:sz w:val="20"/>
              </w:rPr>
              <w:t>na</w:t>
            </w:r>
            <w:r w:rsidRPr="00727829">
              <w:rPr>
                <w:rFonts w:ascii="Trebuchet MS" w:hAnsi="Trebuchet MS"/>
                <w:sz w:val="20"/>
              </w:rPr>
              <w:t xml:space="preserve"> snižování spotřeby energie v příslušném odvětví (vytápění, osvětlení apod.), případně úroveň činnosti. Snižování spotřeby bývá obvykle spojováno s technologickými změnami, nikoli však vždy, neboť může být rovněž výsledkem </w:t>
            </w:r>
            <w:r w:rsidRPr="00727829">
              <w:rPr>
                <w:rFonts w:ascii="Trebuchet MS" w:hAnsi="Trebuchet MS"/>
                <w:sz w:val="20"/>
              </w:rPr>
              <w:lastRenderedPageBreak/>
              <w:t xml:space="preserve">lepší organizace a řízení, případně zlepšení ekonomických podmínek v sektoru („netechnické </w:t>
            </w:r>
            <w:proofErr w:type="gramStart"/>
            <w:r w:rsidRPr="00727829">
              <w:rPr>
                <w:rFonts w:ascii="Trebuchet MS" w:hAnsi="Trebuchet MS"/>
                <w:sz w:val="20"/>
              </w:rPr>
              <w:t>faktory“) (Sv</w:t>
            </w:r>
            <w:r w:rsidR="00CA10A0">
              <w:rPr>
                <w:rFonts w:ascii="Trebuchet MS" w:hAnsi="Trebuchet MS"/>
                <w:sz w:val="20"/>
              </w:rPr>
              <w:t>ětový</w:t>
            </w:r>
            <w:proofErr w:type="gramEnd"/>
            <w:r w:rsidR="00CA10A0">
              <w:rPr>
                <w:rFonts w:ascii="Trebuchet MS" w:hAnsi="Trebuchet MS"/>
                <w:sz w:val="20"/>
              </w:rPr>
              <w:t xml:space="preserve"> energetický výbor /</w:t>
            </w:r>
            <w:proofErr w:type="spellStart"/>
            <w:r w:rsidR="00CA10A0">
              <w:rPr>
                <w:rFonts w:ascii="Trebuchet MS" w:hAnsi="Trebuchet MS"/>
                <w:sz w:val="20"/>
              </w:rPr>
              <w:t>WEC</w:t>
            </w:r>
            <w:proofErr w:type="spellEnd"/>
            <w:r w:rsidR="00CA10A0">
              <w:rPr>
                <w:rFonts w:ascii="Trebuchet MS" w:hAnsi="Trebuchet MS"/>
                <w:sz w:val="20"/>
              </w:rPr>
              <w:t xml:space="preserve">/: </w:t>
            </w:r>
            <w:r w:rsidRPr="00727829">
              <w:rPr>
                <w:rFonts w:ascii="Trebuchet MS" w:hAnsi="Trebuchet MS"/>
                <w:sz w:val="20"/>
              </w:rPr>
              <w:t>Světové politiky ke zvýšení energetické účinnosti: Revize a evaluace, 2008).</w:t>
            </w:r>
          </w:p>
          <w:p w:rsidR="009D674E" w:rsidRPr="00727829" w:rsidRDefault="009D674E" w:rsidP="00727829">
            <w:pPr>
              <w:pStyle w:val="Text1"/>
              <w:spacing w:before="120" w:after="120"/>
              <w:ind w:left="0"/>
              <w:rPr>
                <w:rFonts w:ascii="Trebuchet MS" w:hAnsi="Trebuchet MS"/>
                <w:sz w:val="20"/>
              </w:rPr>
            </w:pPr>
            <w:r w:rsidRPr="00727829">
              <w:rPr>
                <w:rFonts w:ascii="Trebuchet MS" w:hAnsi="Trebuchet MS"/>
                <w:sz w:val="20"/>
              </w:rPr>
              <w:t>Obnovitelné zdroje energie jsou různorodou skupinou technologií, které získávají energii z</w:t>
            </w:r>
            <w:r w:rsidR="00B773E8">
              <w:rPr>
                <w:rFonts w:ascii="Trebuchet MS" w:hAnsi="Trebuchet MS"/>
                <w:sz w:val="20"/>
              </w:rPr>
              <w:t> </w:t>
            </w:r>
            <w:r w:rsidRPr="00727829">
              <w:rPr>
                <w:rFonts w:ascii="Trebuchet MS" w:hAnsi="Trebuchet MS"/>
                <w:sz w:val="20"/>
              </w:rPr>
              <w:t>existujících energetických toků, z</w:t>
            </w:r>
            <w:r w:rsidR="00B773E8">
              <w:rPr>
                <w:rFonts w:ascii="Trebuchet MS" w:hAnsi="Trebuchet MS"/>
                <w:sz w:val="20"/>
              </w:rPr>
              <w:t> </w:t>
            </w:r>
            <w:r w:rsidRPr="00727829">
              <w:rPr>
                <w:rFonts w:ascii="Trebuchet MS" w:hAnsi="Trebuchet MS"/>
                <w:sz w:val="20"/>
              </w:rPr>
              <w:t>probíhajících přírodních procesů, jako jsou například sluneční záření, vítr, tekoucí voda, biologické procesy a geotermální tepelné toky.</w:t>
            </w:r>
          </w:p>
          <w:p w:rsidR="009D674E" w:rsidRPr="00727829" w:rsidRDefault="009D674E" w:rsidP="00727829">
            <w:pPr>
              <w:pStyle w:val="Text1"/>
              <w:spacing w:before="120" w:after="120"/>
              <w:ind w:left="0"/>
              <w:rPr>
                <w:rFonts w:ascii="Trebuchet MS" w:hAnsi="Trebuchet MS"/>
                <w:sz w:val="20"/>
              </w:rPr>
            </w:pPr>
            <w:r w:rsidRPr="00727829">
              <w:rPr>
                <w:rFonts w:ascii="Trebuchet MS" w:hAnsi="Trebuchet MS"/>
                <w:sz w:val="20"/>
              </w:rPr>
              <w:t>Veřejná infrastruktura zahrnuje infrastrukturu, která je ve vlastnictví veřejnosti anebo je určena k veřejnému užívání, včetně veřejných budov.</w:t>
            </w:r>
          </w:p>
          <w:p w:rsidR="009D674E" w:rsidRPr="00727829" w:rsidRDefault="009D674E" w:rsidP="005452F2">
            <w:pPr>
              <w:pStyle w:val="Text1"/>
              <w:spacing w:before="120" w:after="120"/>
              <w:ind w:left="0"/>
              <w:rPr>
                <w:rFonts w:ascii="Trebuchet MS" w:hAnsi="Trebuchet MS"/>
                <w:sz w:val="20"/>
              </w:rPr>
            </w:pPr>
            <w:r w:rsidRPr="00727829">
              <w:rPr>
                <w:rFonts w:ascii="Trebuchet MS" w:hAnsi="Trebuchet MS"/>
                <w:sz w:val="20"/>
              </w:rPr>
              <w:t xml:space="preserve">Za kapacity se považuje prováděcí politika, právní a institucionální prostředí včetně rozvoje lidských zdrojů a příslušných </w:t>
            </w:r>
            <w:proofErr w:type="gramStart"/>
            <w:r w:rsidRPr="00727829">
              <w:rPr>
                <w:rFonts w:ascii="Trebuchet MS" w:hAnsi="Trebuchet MS"/>
                <w:sz w:val="20"/>
              </w:rPr>
              <w:t>říd</w:t>
            </w:r>
            <w:r w:rsidR="005452F2">
              <w:rPr>
                <w:rFonts w:ascii="Trebuchet MS" w:hAnsi="Trebuchet MS"/>
                <w:sz w:val="20"/>
              </w:rPr>
              <w:t>í</w:t>
            </w:r>
            <w:r w:rsidRPr="00727829">
              <w:rPr>
                <w:rFonts w:ascii="Trebuchet MS" w:hAnsi="Trebuchet MS"/>
                <w:sz w:val="20"/>
              </w:rPr>
              <w:t>cích</w:t>
            </w:r>
            <w:proofErr w:type="gramEnd"/>
            <w:r w:rsidRPr="00727829">
              <w:rPr>
                <w:rFonts w:ascii="Trebuchet MS" w:hAnsi="Trebuchet MS"/>
                <w:sz w:val="20"/>
              </w:rPr>
              <w:t xml:space="preserve"> systémů.</w:t>
            </w:r>
          </w:p>
        </w:tc>
        <w:tc>
          <w:tcPr>
            <w:tcW w:w="2471" w:type="dxa"/>
            <w:tcBorders>
              <w:top w:val="single" w:sz="8" w:space="0" w:color="4F81BD"/>
              <w:bottom w:val="single" w:sz="8" w:space="0" w:color="4F81BD"/>
              <w:right w:val="single" w:sz="8" w:space="0" w:color="4F81BD"/>
            </w:tcBorders>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lastRenderedPageBreak/>
              <w:t>Míra odborných znalostí veřejného sektoru a souvisejících subjektů týkajících se metod v oblasti zvýšení energetické účinnosti a využití energie z obnovitelných zdrojů ve veřejné infrastruktuře</w:t>
            </w:r>
          </w:p>
          <w:p w:rsidR="009D674E" w:rsidRPr="00727829" w:rsidRDefault="009D674E" w:rsidP="00727829">
            <w:pPr>
              <w:pStyle w:val="Text1"/>
              <w:spacing w:after="0"/>
              <w:ind w:left="33"/>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harmonizace </w:t>
            </w:r>
            <w:r w:rsidRPr="00727829">
              <w:rPr>
                <w:rFonts w:ascii="Trebuchet MS" w:hAnsi="Trebuchet MS"/>
                <w:bCs/>
                <w:sz w:val="20"/>
              </w:rPr>
              <w:lastRenderedPageBreak/>
              <w:t>standardů a dostupnosti systémů certifikace pro veřejnou infrastrukturu</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znalostí veřejného sektoru a souvisejících subjektů týkajících se plánů financování umožňujících implementovat opatření ke zvýšení energetické účinnosti a využívání energie z obnovitelných zdrojů ve veřejné infrastruktuře </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w:t>
            </w:r>
            <w:r w:rsidR="00CE02FB">
              <w:rPr>
                <w:rFonts w:ascii="Trebuchet MS" w:hAnsi="Trebuchet MS"/>
                <w:bCs/>
                <w:sz w:val="20"/>
              </w:rPr>
              <w:t xml:space="preserve">postoupení </w:t>
            </w:r>
            <w:r w:rsidRPr="00727829">
              <w:rPr>
                <w:rFonts w:ascii="Trebuchet MS" w:hAnsi="Trebuchet MS"/>
                <w:bCs/>
                <w:sz w:val="20"/>
              </w:rPr>
              <w:t>výsled</w:t>
            </w:r>
            <w:r w:rsidR="00CE02FB">
              <w:rPr>
                <w:rFonts w:ascii="Trebuchet MS" w:hAnsi="Trebuchet MS"/>
                <w:bCs/>
                <w:sz w:val="20"/>
              </w:rPr>
              <w:t>ků</w:t>
            </w:r>
            <w:r w:rsidRPr="00727829">
              <w:rPr>
                <w:rFonts w:ascii="Trebuchet MS" w:hAnsi="Trebuchet MS"/>
                <w:bCs/>
                <w:sz w:val="20"/>
              </w:rPr>
              <w:t xml:space="preserve"> projektu (včetně testovaných pilotních řešení) příslušným zainteresovaným stranám</w:t>
            </w:r>
          </w:p>
          <w:p w:rsidR="009D674E" w:rsidRPr="00727829" w:rsidRDefault="009D674E" w:rsidP="00727829">
            <w:pPr>
              <w:pStyle w:val="Text1"/>
              <w:spacing w:after="0"/>
              <w:ind w:left="0"/>
              <w:jc w:val="left"/>
              <w:rPr>
                <w:rFonts w:ascii="Trebuchet MS" w:hAnsi="Trebuchet MS"/>
                <w:b/>
                <w:bCs/>
                <w:sz w:val="20"/>
              </w:rPr>
            </w:pPr>
          </w:p>
        </w:tc>
      </w:tr>
      <w:tr w:rsidR="009D674E" w:rsidRPr="00727829" w:rsidTr="00727829">
        <w:tc>
          <w:tcPr>
            <w:tcW w:w="2236" w:type="dxa"/>
          </w:tcPr>
          <w:p w:rsidR="009D674E" w:rsidRPr="00727829" w:rsidRDefault="009D674E" w:rsidP="00727829">
            <w:pPr>
              <w:pStyle w:val="Text1"/>
              <w:spacing w:after="0"/>
              <w:ind w:left="360" w:hanging="360"/>
              <w:jc w:val="left"/>
              <w:rPr>
                <w:rFonts w:ascii="Trebuchet MS" w:hAnsi="Trebuchet MS"/>
                <w:b/>
                <w:bCs/>
                <w:sz w:val="20"/>
              </w:rPr>
            </w:pPr>
            <w:r w:rsidRPr="00727829">
              <w:rPr>
                <w:rFonts w:ascii="Trebuchet MS" w:hAnsi="Trebuchet MS"/>
                <w:b/>
                <w:bCs/>
                <w:sz w:val="20"/>
              </w:rPr>
              <w:lastRenderedPageBreak/>
              <w:t>2.2 Stav kapacit veřejného sektoru a souvisejících subjektů týkajících se územně založeného plánování a politiky nízkouhlíkové energetiky</w:t>
            </w:r>
          </w:p>
        </w:tc>
        <w:tc>
          <w:tcPr>
            <w:tcW w:w="4535" w:type="dxa"/>
            <w:tcBorders>
              <w:left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Tento ukazatel měří stav kapacit veřejného sektoru a souvisejících subjektů týkajících se územně založeného plánování a politiky nízkouhlíkové energetiky. Referenčním územím je celá oblast programu CENTRAL EUROPE, jak je definováno v </w:t>
            </w:r>
            <w:r w:rsidR="00971105" w:rsidRPr="00B773E8">
              <w:rPr>
                <w:rFonts w:ascii="Trebuchet MS" w:hAnsi="Trebuchet MS"/>
                <w:sz w:val="20"/>
              </w:rPr>
              <w:t>p</w:t>
            </w:r>
            <w:r w:rsidRPr="00727829">
              <w:rPr>
                <w:rFonts w:ascii="Trebuchet MS" w:hAnsi="Trebuchet MS"/>
                <w:sz w:val="20"/>
              </w:rPr>
              <w:t>říloze č. 3.</w:t>
            </w:r>
          </w:p>
          <w:p w:rsidR="009D674E" w:rsidRPr="00727829" w:rsidRDefault="009D674E" w:rsidP="00727829">
            <w:pPr>
              <w:autoSpaceDE w:val="0"/>
              <w:autoSpaceDN w:val="0"/>
              <w:adjustRightInd w:val="0"/>
              <w:spacing w:before="120" w:after="120" w:line="240" w:lineRule="auto"/>
              <w:jc w:val="both"/>
              <w:rPr>
                <w:rFonts w:ascii="Trebuchet MS" w:hAnsi="Trebuchet MS"/>
                <w:sz w:val="20"/>
              </w:rPr>
            </w:pPr>
            <w:r w:rsidRPr="00727829">
              <w:rPr>
                <w:rFonts w:ascii="Trebuchet MS" w:hAnsi="Trebuchet MS"/>
                <w:sz w:val="20"/>
              </w:rPr>
              <w:t>Energetické plánování na územní úrovni poskytuje rámec svázaný s politikami a ekonomickým rozvojem, který zohledňuje specifické místní/regionální vzorce energetických potřeb a zdrojů a slouží jako nástroj ke zmírnění klimatických změn a k vyšší udržitelnosti.</w:t>
            </w:r>
          </w:p>
          <w:p w:rsidR="009D674E" w:rsidRPr="00727829" w:rsidRDefault="009D674E" w:rsidP="005452F2">
            <w:pPr>
              <w:pStyle w:val="Text1"/>
              <w:spacing w:before="120" w:after="120"/>
              <w:ind w:left="0"/>
              <w:rPr>
                <w:rFonts w:ascii="Trebuchet MS" w:hAnsi="Trebuchet MS"/>
                <w:sz w:val="20"/>
                <w:szCs w:val="22"/>
              </w:rPr>
            </w:pPr>
            <w:r w:rsidRPr="00727829">
              <w:rPr>
                <w:rFonts w:ascii="Trebuchet MS" w:hAnsi="Trebuchet MS"/>
                <w:sz w:val="20"/>
              </w:rPr>
              <w:t xml:space="preserve">Za kapacity se považuje prováděcí politika, právní a institucionální prostředí včetně rozvoje lidských zdrojů a příslušných </w:t>
            </w:r>
            <w:proofErr w:type="gramStart"/>
            <w:r w:rsidRPr="00727829">
              <w:rPr>
                <w:rFonts w:ascii="Trebuchet MS" w:hAnsi="Trebuchet MS"/>
                <w:sz w:val="20"/>
              </w:rPr>
              <w:t>říd</w:t>
            </w:r>
            <w:r w:rsidR="005452F2">
              <w:rPr>
                <w:rFonts w:ascii="Trebuchet MS" w:hAnsi="Trebuchet MS"/>
                <w:sz w:val="20"/>
              </w:rPr>
              <w:t>í</w:t>
            </w:r>
            <w:r w:rsidRPr="00727829">
              <w:rPr>
                <w:rFonts w:ascii="Trebuchet MS" w:hAnsi="Trebuchet MS"/>
                <w:sz w:val="20"/>
              </w:rPr>
              <w:t>cích</w:t>
            </w:r>
            <w:proofErr w:type="gramEnd"/>
            <w:r w:rsidRPr="00727829">
              <w:rPr>
                <w:rFonts w:ascii="Trebuchet MS" w:hAnsi="Trebuchet MS"/>
                <w:sz w:val="20"/>
              </w:rPr>
              <w:t xml:space="preserve"> systémů.</w:t>
            </w:r>
          </w:p>
        </w:tc>
        <w:tc>
          <w:tcPr>
            <w:tcW w:w="2471" w:type="dxa"/>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odborných znalostí veřejného sektoru a souvisejících subjektů týkajících se územně založeného plánování a politiky nízkouhlíkové energetiky </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znalosti řídících strategií na snížení energetické náročnosti jak ve veřejném, tak v soukromém sektoru</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znalostí a zkušeností týkajících se využití regionálního endogenního energetického potenciálu</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w:t>
            </w:r>
            <w:r w:rsidR="00CE02FB">
              <w:rPr>
                <w:rFonts w:ascii="Trebuchet MS" w:hAnsi="Trebuchet MS"/>
                <w:bCs/>
                <w:sz w:val="20"/>
              </w:rPr>
              <w:t xml:space="preserve">postoupení </w:t>
            </w:r>
            <w:r w:rsidRPr="00727829">
              <w:rPr>
                <w:rFonts w:ascii="Trebuchet MS" w:hAnsi="Trebuchet MS"/>
                <w:bCs/>
                <w:sz w:val="20"/>
              </w:rPr>
              <w:t>výsled</w:t>
            </w:r>
            <w:r w:rsidR="00CE02FB">
              <w:rPr>
                <w:rFonts w:ascii="Trebuchet MS" w:hAnsi="Trebuchet MS"/>
                <w:bCs/>
                <w:sz w:val="20"/>
              </w:rPr>
              <w:t>ků</w:t>
            </w:r>
            <w:r w:rsidRPr="00727829">
              <w:rPr>
                <w:rFonts w:ascii="Trebuchet MS" w:hAnsi="Trebuchet MS"/>
                <w:bCs/>
                <w:sz w:val="20"/>
              </w:rPr>
              <w:t xml:space="preserve"> projektu (včetně testovaných pilotních řešení)příslušným </w:t>
            </w:r>
            <w:r w:rsidRPr="00727829">
              <w:rPr>
                <w:rFonts w:ascii="Trebuchet MS" w:hAnsi="Trebuchet MS"/>
                <w:bCs/>
                <w:sz w:val="20"/>
              </w:rPr>
              <w:lastRenderedPageBreak/>
              <w:t>zainteresovaným stranám</w:t>
            </w:r>
          </w:p>
          <w:p w:rsidR="009D674E" w:rsidRPr="00727829" w:rsidRDefault="009D674E" w:rsidP="00727829">
            <w:pPr>
              <w:pStyle w:val="Text1"/>
              <w:spacing w:after="0"/>
              <w:ind w:left="0"/>
              <w:jc w:val="left"/>
              <w:rPr>
                <w:rFonts w:ascii="Trebuchet MS" w:hAnsi="Trebuchet MS"/>
                <w:b/>
                <w:bCs/>
                <w:sz w:val="20"/>
              </w:rPr>
            </w:pPr>
          </w:p>
        </w:tc>
      </w:tr>
      <w:tr w:rsidR="009D674E" w:rsidRPr="00727829" w:rsidTr="00727829">
        <w:tc>
          <w:tcPr>
            <w:tcW w:w="2236" w:type="dxa"/>
            <w:tcBorders>
              <w:top w:val="single" w:sz="8" w:space="0" w:color="4F81BD"/>
              <w:left w:val="single" w:sz="8" w:space="0" w:color="4F81BD"/>
              <w:bottom w:val="single" w:sz="8" w:space="0" w:color="4F81BD"/>
            </w:tcBorders>
          </w:tcPr>
          <w:p w:rsidR="009D674E" w:rsidRPr="00727829" w:rsidRDefault="009D674E" w:rsidP="00727829">
            <w:pPr>
              <w:pStyle w:val="Text1"/>
              <w:spacing w:after="0"/>
              <w:ind w:left="360" w:hanging="360"/>
              <w:jc w:val="left"/>
              <w:rPr>
                <w:rFonts w:ascii="Trebuchet MS" w:hAnsi="Trebuchet MS"/>
                <w:b/>
                <w:bCs/>
                <w:sz w:val="20"/>
              </w:rPr>
            </w:pPr>
            <w:r w:rsidRPr="00727829">
              <w:rPr>
                <w:rFonts w:ascii="Trebuchet MS" w:hAnsi="Trebuchet MS"/>
                <w:b/>
                <w:bCs/>
                <w:sz w:val="20"/>
              </w:rPr>
              <w:lastRenderedPageBreak/>
              <w:t>2.3 Stav kapacit veřejného sektoru a souvisejících subjektů týkajících se plánování nízkouhlíkové mobility ve funkčních městských oblastech</w:t>
            </w:r>
          </w:p>
        </w:tc>
        <w:tc>
          <w:tcPr>
            <w:tcW w:w="4535" w:type="dxa"/>
            <w:tcBorders>
              <w:top w:val="single" w:sz="8" w:space="0" w:color="4F81BD"/>
              <w:left w:val="single" w:sz="8" w:space="0" w:color="4F81BD"/>
              <w:bottom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Tento ukazatel měří stav kapacit veřejného sektoru a souvisejících subjektů týkajících se plánování nízkouhlíkové mobility ve funkčních městských oblastech. Referenčním územím je celá oblast programu CENTRAL EUROPE, jak je definováno v </w:t>
            </w:r>
            <w:r w:rsidR="00971105" w:rsidRPr="00B773E8">
              <w:rPr>
                <w:rFonts w:ascii="Trebuchet MS" w:hAnsi="Trebuchet MS"/>
                <w:sz w:val="20"/>
              </w:rPr>
              <w:t>p</w:t>
            </w:r>
            <w:r w:rsidRPr="00727829">
              <w:rPr>
                <w:rFonts w:ascii="Trebuchet MS" w:hAnsi="Trebuchet MS"/>
                <w:sz w:val="20"/>
              </w:rPr>
              <w:t>říloze č. 3.</w:t>
            </w:r>
          </w:p>
          <w:p w:rsidR="009D674E" w:rsidRPr="00727829" w:rsidRDefault="009D674E" w:rsidP="00727829">
            <w:pPr>
              <w:pStyle w:val="Text1"/>
              <w:spacing w:before="120" w:after="120"/>
              <w:ind w:left="0"/>
              <w:rPr>
                <w:rFonts w:ascii="Trebuchet MS" w:hAnsi="Trebuchet MS"/>
                <w:sz w:val="20"/>
                <w:szCs w:val="22"/>
              </w:rPr>
            </w:pPr>
            <w:r w:rsidRPr="00727829">
              <w:rPr>
                <w:rFonts w:ascii="Trebuchet MS" w:hAnsi="Trebuchet MS"/>
                <w:sz w:val="20"/>
              </w:rPr>
              <w:t>Plánování nízkouhlíkové mobility je třeba chápat jako soubor vzájemně provázaných opatření, jejichž cílem je uspokojit potřeby v oblasti mobility osob a podniků.</w:t>
            </w:r>
            <w:r w:rsidR="00F151D1">
              <w:rPr>
                <w:rFonts w:ascii="Trebuchet MS" w:hAnsi="Trebuchet MS"/>
                <w:sz w:val="20"/>
              </w:rPr>
              <w:t xml:space="preserve"> </w:t>
            </w:r>
            <w:r w:rsidRPr="00727829">
              <w:rPr>
                <w:rFonts w:ascii="Trebuchet MS" w:hAnsi="Trebuchet MS"/>
                <w:sz w:val="20"/>
              </w:rPr>
              <w:t>Jsou výsledkem integrovaného přístupu k plánování a řešení nízkouhlíkových forem dopravy ve městech a okolních oblastech.</w:t>
            </w:r>
          </w:p>
          <w:p w:rsidR="009D674E" w:rsidRPr="00727829" w:rsidRDefault="009D674E" w:rsidP="00727829">
            <w:pPr>
              <w:pStyle w:val="Text1"/>
              <w:spacing w:before="120" w:after="120"/>
              <w:ind w:left="0"/>
              <w:rPr>
                <w:rFonts w:ascii="Trebuchet MS" w:hAnsi="Trebuchet MS"/>
                <w:sz w:val="20"/>
                <w:szCs w:val="22"/>
              </w:rPr>
            </w:pPr>
            <w:r w:rsidRPr="00727829">
              <w:rPr>
                <w:rFonts w:ascii="Trebuchet MS" w:hAnsi="Trebuchet MS"/>
                <w:sz w:val="20"/>
              </w:rPr>
              <w:t>Funkční městská oblast je funkční hospodářskou jednotkou, kterou charakterizují hustě obydlená „městská jádra“ a „okrajové části“, jejichž trh práce je úzce integrován do jader (</w:t>
            </w:r>
            <w:proofErr w:type="spellStart"/>
            <w:r w:rsidRPr="00727829">
              <w:rPr>
                <w:rFonts w:ascii="Trebuchet MS" w:hAnsi="Trebuchet MS"/>
                <w:sz w:val="20"/>
              </w:rPr>
              <w:t>OECD</w:t>
            </w:r>
            <w:proofErr w:type="spellEnd"/>
            <w:r w:rsidRPr="00727829">
              <w:rPr>
                <w:rFonts w:ascii="Trebuchet MS" w:hAnsi="Trebuchet MS"/>
                <w:sz w:val="20"/>
              </w:rPr>
              <w:t>, 2012). Tato definice založená na trhu práce a faktorech dojíždění poskytuje územní vymezení přesahující administrativní hranice, což je relevantní pro mnoho tematických oblastí.</w:t>
            </w:r>
          </w:p>
          <w:p w:rsidR="009D674E" w:rsidRPr="00727829" w:rsidRDefault="009D674E" w:rsidP="005452F2">
            <w:pPr>
              <w:pStyle w:val="Text1"/>
              <w:spacing w:before="120" w:after="120"/>
              <w:ind w:left="0"/>
              <w:rPr>
                <w:rFonts w:ascii="Trebuchet MS" w:hAnsi="Trebuchet MS"/>
                <w:sz w:val="20"/>
                <w:szCs w:val="22"/>
              </w:rPr>
            </w:pPr>
            <w:r w:rsidRPr="00727829">
              <w:rPr>
                <w:rFonts w:ascii="Trebuchet MS" w:hAnsi="Trebuchet MS"/>
                <w:sz w:val="20"/>
              </w:rPr>
              <w:t xml:space="preserve">Za kapacity se považuje prováděcí politika, právní a institucionální prostředí včetně rozvoje lidských zdrojů a příslušných </w:t>
            </w:r>
            <w:proofErr w:type="gramStart"/>
            <w:r w:rsidRPr="00727829">
              <w:rPr>
                <w:rFonts w:ascii="Trebuchet MS" w:hAnsi="Trebuchet MS"/>
                <w:sz w:val="20"/>
              </w:rPr>
              <w:t>říd</w:t>
            </w:r>
            <w:r w:rsidR="005452F2">
              <w:rPr>
                <w:rFonts w:ascii="Trebuchet MS" w:hAnsi="Trebuchet MS"/>
                <w:sz w:val="20"/>
              </w:rPr>
              <w:t>í</w:t>
            </w:r>
            <w:r w:rsidRPr="00727829">
              <w:rPr>
                <w:rFonts w:ascii="Trebuchet MS" w:hAnsi="Trebuchet MS"/>
                <w:sz w:val="20"/>
              </w:rPr>
              <w:t>cích</w:t>
            </w:r>
            <w:proofErr w:type="gramEnd"/>
            <w:r w:rsidRPr="00727829">
              <w:rPr>
                <w:rFonts w:ascii="Trebuchet MS" w:hAnsi="Trebuchet MS"/>
                <w:sz w:val="20"/>
              </w:rPr>
              <w:t xml:space="preserve"> systémů.</w:t>
            </w:r>
          </w:p>
        </w:tc>
        <w:tc>
          <w:tcPr>
            <w:tcW w:w="2471" w:type="dxa"/>
            <w:tcBorders>
              <w:top w:val="single" w:sz="8" w:space="0" w:color="4F81BD"/>
              <w:bottom w:val="single" w:sz="8" w:space="0" w:color="4F81BD"/>
              <w:right w:val="single" w:sz="8" w:space="0" w:color="4F81BD"/>
            </w:tcBorders>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odborných znalostí veřejného sektoru a souvisejících subjektů týkajících se plánování nízkouhlíkové mobility ve středoevropských funkčních městských oblastech </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znalosti a implementace nových nízkouhlíkových technologií pro veřejnou městskou dopravu</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3A0768" w:rsidP="00727829">
            <w:pPr>
              <w:pStyle w:val="Text1"/>
              <w:numPr>
                <w:ilvl w:val="0"/>
                <w:numId w:val="5"/>
              </w:numPr>
              <w:spacing w:after="0"/>
              <w:ind w:left="317" w:hanging="284"/>
              <w:jc w:val="left"/>
              <w:rPr>
                <w:rFonts w:ascii="Trebuchet MS" w:hAnsi="Trebuchet MS"/>
                <w:b/>
                <w:bCs/>
                <w:sz w:val="20"/>
              </w:rPr>
            </w:pPr>
            <w:r>
              <w:rPr>
                <w:rFonts w:ascii="Trebuchet MS" w:hAnsi="Trebuchet MS"/>
                <w:bCs/>
                <w:sz w:val="20"/>
              </w:rPr>
              <w:t xml:space="preserve">Míra postoupení </w:t>
            </w:r>
            <w:r w:rsidR="009D674E" w:rsidRPr="00727829">
              <w:rPr>
                <w:rFonts w:ascii="Trebuchet MS" w:hAnsi="Trebuchet MS"/>
                <w:bCs/>
                <w:sz w:val="20"/>
              </w:rPr>
              <w:t>výsled</w:t>
            </w:r>
            <w:r>
              <w:rPr>
                <w:rFonts w:ascii="Trebuchet MS" w:hAnsi="Trebuchet MS"/>
                <w:bCs/>
                <w:sz w:val="20"/>
              </w:rPr>
              <w:t>ků</w:t>
            </w:r>
            <w:r w:rsidR="009D674E" w:rsidRPr="00727829">
              <w:rPr>
                <w:rFonts w:ascii="Trebuchet MS" w:hAnsi="Trebuchet MS"/>
                <w:bCs/>
                <w:sz w:val="20"/>
              </w:rPr>
              <w:t xml:space="preserve"> projektu (včetně testovaných pilotních řešení) příslušným zainteresovaným stranám</w:t>
            </w:r>
          </w:p>
          <w:p w:rsidR="009D674E" w:rsidRPr="00727829" w:rsidRDefault="009D674E" w:rsidP="00727829">
            <w:pPr>
              <w:pStyle w:val="Text1"/>
              <w:spacing w:after="0"/>
              <w:ind w:left="0"/>
              <w:jc w:val="left"/>
              <w:rPr>
                <w:rFonts w:ascii="Trebuchet MS" w:hAnsi="Trebuchet MS"/>
                <w:b/>
                <w:bCs/>
                <w:sz w:val="20"/>
              </w:rPr>
            </w:pPr>
          </w:p>
        </w:tc>
      </w:tr>
      <w:tr w:rsidR="009D674E" w:rsidRPr="00727829" w:rsidTr="00727829">
        <w:tc>
          <w:tcPr>
            <w:tcW w:w="2236" w:type="dxa"/>
          </w:tcPr>
          <w:p w:rsidR="009D674E" w:rsidRPr="00727829" w:rsidRDefault="009D674E" w:rsidP="00727829">
            <w:pPr>
              <w:pStyle w:val="Text1"/>
              <w:spacing w:after="0"/>
              <w:ind w:left="360" w:hanging="360"/>
              <w:jc w:val="left"/>
              <w:rPr>
                <w:rFonts w:ascii="Trebuchet MS" w:hAnsi="Trebuchet MS"/>
                <w:b/>
                <w:bCs/>
                <w:sz w:val="20"/>
              </w:rPr>
            </w:pPr>
            <w:r w:rsidRPr="00727829">
              <w:rPr>
                <w:rFonts w:ascii="Trebuchet MS" w:hAnsi="Trebuchet MS"/>
                <w:b/>
                <w:bCs/>
                <w:sz w:val="20"/>
              </w:rPr>
              <w:t>3.1 Stav kapacit integrovaného řízení ochrany životního prostředí veřejného sektoru a souvisejících subjektů týkajících se udržitelného využívání přírodního dědictví a zdrojů</w:t>
            </w:r>
          </w:p>
        </w:tc>
        <w:tc>
          <w:tcPr>
            <w:tcW w:w="4535" w:type="dxa"/>
            <w:tcBorders>
              <w:left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Tento ukazatel měří kapacity veřejného sektoru a souvisejících subjektů týkající se integrovaného řízení ochrany životního prostředí v určitém časovém bodě. Referenčním územím je celá oblast programu CENTRAL EUROPE, jak je definováno v </w:t>
            </w:r>
            <w:r w:rsidR="00971105" w:rsidRPr="00B773E8">
              <w:rPr>
                <w:rFonts w:ascii="Trebuchet MS" w:hAnsi="Trebuchet MS"/>
                <w:sz w:val="20"/>
              </w:rPr>
              <w:t>příloze č. 3.</w:t>
            </w:r>
          </w:p>
          <w:p w:rsidR="009D674E" w:rsidRPr="00727829" w:rsidRDefault="009D674E" w:rsidP="00727829">
            <w:pPr>
              <w:spacing w:before="120" w:after="120" w:line="240" w:lineRule="auto"/>
              <w:jc w:val="both"/>
              <w:rPr>
                <w:rFonts w:ascii="Trebuchet MS" w:hAnsi="Trebuchet MS"/>
                <w:bCs/>
                <w:sz w:val="20"/>
              </w:rPr>
            </w:pPr>
            <w:r w:rsidRPr="00727829">
              <w:rPr>
                <w:rFonts w:ascii="Trebuchet MS" w:hAnsi="Trebuchet MS"/>
                <w:sz w:val="20"/>
              </w:rPr>
              <w:t>Integrované řízení ochrany životního prostředí znamená komplexní přístup k plánování a řízení přírodních zdrojů, který zahrnuje ekologické, sociální a ekonomické cíle. Bere v úvahu vzájemné vztahy mezi různými subjekty a pracuje s pojmy únosnost, odolnost a udržitelnost.</w:t>
            </w:r>
          </w:p>
          <w:p w:rsidR="009D674E" w:rsidRPr="00AF37E3" w:rsidRDefault="009D674E" w:rsidP="00727829">
            <w:pPr>
              <w:spacing w:before="120" w:after="120" w:line="240" w:lineRule="auto"/>
              <w:jc w:val="both"/>
              <w:rPr>
                <w:rFonts w:ascii="Trebuchet MS" w:hAnsi="Trebuchet MS"/>
                <w:sz w:val="20"/>
              </w:rPr>
            </w:pPr>
            <w:r w:rsidRPr="00AF37E3">
              <w:rPr>
                <w:rFonts w:ascii="Trebuchet MS" w:hAnsi="Trebuchet MS"/>
                <w:sz w:val="20"/>
              </w:rPr>
              <w:t>Za přírodní dědictví jsou považovány přírodní památky, geologické a fyziografické útvary (včetně biotopů) a přírodní lokality, či přesně vymezené přírodní oblasti.</w:t>
            </w:r>
            <w:r w:rsidRPr="00727829">
              <w:rPr>
                <w:rFonts w:ascii="Trebuchet MS" w:hAnsi="Trebuchet MS"/>
                <w:sz w:val="20"/>
              </w:rPr>
              <w:t xml:space="preserve"> (UNESCO: Úmluva o ochraně světového kulturního a přírodního dědictví, 1972).</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 xml:space="preserve">Přírodní zdroje mají původ v přírodě, běžně se dělí na neobnovitelné zdroje, jako jsou minerály a fosilní paliva, a obnovitelné přírodní zdroje, které šíří či zachovávají život a pokud se jim dostává řádné péče, samy se přirozeně obnovují, např. rostliny a živočichové, ale také </w:t>
            </w:r>
            <w:r w:rsidRPr="00727829">
              <w:rPr>
                <w:rFonts w:ascii="Trebuchet MS" w:hAnsi="Trebuchet MS"/>
                <w:sz w:val="20"/>
              </w:rPr>
              <w:lastRenderedPageBreak/>
              <w:t xml:space="preserve">půda a voda (definice </w:t>
            </w:r>
            <w:proofErr w:type="spellStart"/>
            <w:r w:rsidRPr="00727829">
              <w:rPr>
                <w:rFonts w:ascii="Trebuchet MS" w:hAnsi="Trebuchet MS"/>
                <w:sz w:val="20"/>
              </w:rPr>
              <w:t>IUCN</w:t>
            </w:r>
            <w:proofErr w:type="spellEnd"/>
            <w:r w:rsidRPr="00727829">
              <w:rPr>
                <w:rStyle w:val="Znakapoznpodarou"/>
                <w:rFonts w:ascii="Trebuchet MS" w:hAnsi="Trebuchet MS"/>
                <w:sz w:val="20"/>
              </w:rPr>
              <w:footnoteReference w:id="5"/>
            </w:r>
            <w:r w:rsidRPr="00727829">
              <w:rPr>
                <w:rFonts w:ascii="Trebuchet MS" w:hAnsi="Trebuchet MS"/>
                <w:sz w:val="20"/>
              </w:rPr>
              <w:t xml:space="preserve">). </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 xml:space="preserve">Za kapacity se považuje prováděcí politika, právní a institucionální prostředí včetně rozvoje lidských zdrojů a </w:t>
            </w:r>
            <w:r w:rsidR="005452F2">
              <w:rPr>
                <w:rFonts w:ascii="Trebuchet MS" w:hAnsi="Trebuchet MS"/>
                <w:sz w:val="20"/>
              </w:rPr>
              <w:t xml:space="preserve">příslušných </w:t>
            </w:r>
            <w:proofErr w:type="gramStart"/>
            <w:r w:rsidR="005452F2">
              <w:rPr>
                <w:rFonts w:ascii="Trebuchet MS" w:hAnsi="Trebuchet MS"/>
                <w:sz w:val="20"/>
              </w:rPr>
              <w:t>řídí</w:t>
            </w:r>
            <w:r w:rsidRPr="00727829">
              <w:rPr>
                <w:rFonts w:ascii="Trebuchet MS" w:hAnsi="Trebuchet MS"/>
                <w:sz w:val="20"/>
              </w:rPr>
              <w:t>cích</w:t>
            </w:r>
            <w:proofErr w:type="gramEnd"/>
            <w:r w:rsidRPr="00727829">
              <w:rPr>
                <w:rFonts w:ascii="Trebuchet MS" w:hAnsi="Trebuchet MS"/>
                <w:sz w:val="20"/>
              </w:rPr>
              <w:t xml:space="preserve"> systémů.</w:t>
            </w:r>
          </w:p>
          <w:p w:rsidR="009D674E" w:rsidRPr="00727829" w:rsidRDefault="009D674E" w:rsidP="00727829">
            <w:pPr>
              <w:spacing w:before="120" w:after="120" w:line="240" w:lineRule="auto"/>
              <w:jc w:val="both"/>
              <w:rPr>
                <w:rFonts w:ascii="Trebuchet MS" w:hAnsi="Trebuchet MS"/>
                <w:sz w:val="20"/>
              </w:rPr>
            </w:pPr>
            <w:r w:rsidRPr="00727829">
              <w:rPr>
                <w:rFonts w:ascii="Trebuchet MS" w:hAnsi="Trebuchet MS"/>
                <w:sz w:val="20"/>
              </w:rPr>
              <w:t>Za udržitelné využívání se považuje využívání respektující zásady udržitelnosti.</w:t>
            </w:r>
          </w:p>
        </w:tc>
        <w:tc>
          <w:tcPr>
            <w:tcW w:w="2471" w:type="dxa"/>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lastRenderedPageBreak/>
              <w:t xml:space="preserve">Míra kapacit týkajících se </w:t>
            </w:r>
            <w:r w:rsidR="005452F2">
              <w:rPr>
                <w:rFonts w:ascii="Trebuchet MS" w:hAnsi="Trebuchet MS"/>
                <w:bCs/>
                <w:sz w:val="20"/>
              </w:rPr>
              <w:t xml:space="preserve">integrovaného řízení </w:t>
            </w:r>
            <w:r w:rsidRPr="00727829">
              <w:rPr>
                <w:rFonts w:ascii="Trebuchet MS" w:hAnsi="Trebuchet MS"/>
                <w:bCs/>
                <w:sz w:val="20"/>
              </w:rPr>
              <w:t>ochrany přírodního dědictví vysoké hodnoty</w:t>
            </w:r>
          </w:p>
          <w:p w:rsidR="009D674E" w:rsidRPr="00727829" w:rsidRDefault="009D674E" w:rsidP="00727829">
            <w:pPr>
              <w:pStyle w:val="Text1"/>
              <w:spacing w:after="0"/>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kapacit týkajících se integrovaného řízení ochrany životního prostředí a udržitelného využívání přírodních zdrojů</w:t>
            </w:r>
            <w:r w:rsidR="007B491D">
              <w:rPr>
                <w:rFonts w:ascii="Trebuchet MS" w:hAnsi="Trebuchet MS"/>
                <w:bCs/>
                <w:sz w:val="20"/>
              </w:rPr>
              <w:t xml:space="preserve"> pro regionální rozvoj</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řídících dovedností týkajících se efektivnějšího využití přírodních zdrojů veřejnými subjekty a podniky</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w:t>
            </w:r>
            <w:r w:rsidR="003A0768">
              <w:rPr>
                <w:rFonts w:ascii="Trebuchet MS" w:hAnsi="Trebuchet MS"/>
                <w:bCs/>
                <w:sz w:val="20"/>
              </w:rPr>
              <w:t xml:space="preserve">postoupení </w:t>
            </w:r>
            <w:r w:rsidRPr="00727829">
              <w:rPr>
                <w:rFonts w:ascii="Trebuchet MS" w:hAnsi="Trebuchet MS"/>
                <w:bCs/>
                <w:sz w:val="20"/>
              </w:rPr>
              <w:t>výsled</w:t>
            </w:r>
            <w:r w:rsidR="003A0768">
              <w:rPr>
                <w:rFonts w:ascii="Trebuchet MS" w:hAnsi="Trebuchet MS"/>
                <w:bCs/>
                <w:sz w:val="20"/>
              </w:rPr>
              <w:t>ků</w:t>
            </w:r>
            <w:r w:rsidRPr="00727829">
              <w:rPr>
                <w:rFonts w:ascii="Trebuchet MS" w:hAnsi="Trebuchet MS"/>
                <w:bCs/>
                <w:sz w:val="20"/>
              </w:rPr>
              <w:t xml:space="preserve"> projektu (včetně testovaných pilotních řešení) </w:t>
            </w:r>
            <w:r w:rsidRPr="00727829">
              <w:rPr>
                <w:rFonts w:ascii="Trebuchet MS" w:hAnsi="Trebuchet MS"/>
                <w:bCs/>
                <w:sz w:val="20"/>
              </w:rPr>
              <w:lastRenderedPageBreak/>
              <w:t>příslušným zainteresovaným stranám</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spacing w:after="0"/>
              <w:ind w:left="317"/>
              <w:jc w:val="left"/>
              <w:rPr>
                <w:rFonts w:ascii="Trebuchet MS" w:hAnsi="Trebuchet MS"/>
                <w:b/>
                <w:bCs/>
                <w:sz w:val="20"/>
              </w:rPr>
            </w:pPr>
          </w:p>
        </w:tc>
      </w:tr>
      <w:tr w:rsidR="009D674E" w:rsidRPr="00727829" w:rsidTr="00727829">
        <w:tc>
          <w:tcPr>
            <w:tcW w:w="2236" w:type="dxa"/>
            <w:tcBorders>
              <w:top w:val="single" w:sz="8" w:space="0" w:color="4F81BD"/>
              <w:left w:val="single" w:sz="8" w:space="0" w:color="4F81BD"/>
              <w:bottom w:val="single" w:sz="8" w:space="0" w:color="4F81BD"/>
            </w:tcBorders>
          </w:tcPr>
          <w:p w:rsidR="009D674E" w:rsidRPr="00727829" w:rsidRDefault="009D674E" w:rsidP="001904B0">
            <w:pPr>
              <w:spacing w:after="0" w:line="240" w:lineRule="auto"/>
              <w:jc w:val="both"/>
              <w:rPr>
                <w:rFonts w:ascii="Trebuchet MS" w:hAnsi="Trebuchet MS"/>
                <w:b/>
                <w:bCs/>
                <w:sz w:val="20"/>
              </w:rPr>
            </w:pPr>
            <w:r w:rsidRPr="00727829">
              <w:rPr>
                <w:rFonts w:ascii="Trebuchet MS" w:hAnsi="Trebuchet MS"/>
                <w:b/>
                <w:bCs/>
                <w:sz w:val="20"/>
              </w:rPr>
              <w:lastRenderedPageBreak/>
              <w:t xml:space="preserve">3.2 Stav kapacit veřejného </w:t>
            </w:r>
            <w:r w:rsidR="001904B0">
              <w:rPr>
                <w:rFonts w:ascii="Trebuchet MS" w:hAnsi="Trebuchet MS"/>
                <w:b/>
                <w:bCs/>
                <w:sz w:val="20"/>
              </w:rPr>
              <w:t xml:space="preserve">a soukromého </w:t>
            </w:r>
            <w:r w:rsidRPr="00727829">
              <w:rPr>
                <w:rFonts w:ascii="Trebuchet MS" w:hAnsi="Trebuchet MS"/>
                <w:b/>
                <w:bCs/>
                <w:sz w:val="20"/>
              </w:rPr>
              <w:t>sektoru týkajících se udržitelného využívání kulturního dědictví a zdrojů</w:t>
            </w:r>
          </w:p>
        </w:tc>
        <w:tc>
          <w:tcPr>
            <w:tcW w:w="4535" w:type="dxa"/>
            <w:tcBorders>
              <w:top w:val="single" w:sz="8" w:space="0" w:color="4F81BD"/>
              <w:left w:val="single" w:sz="8" w:space="0" w:color="4F81BD"/>
              <w:bottom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 xml:space="preserve">Tento ukazatel měří kapacity veřejného </w:t>
            </w:r>
            <w:r w:rsidR="001904B0">
              <w:rPr>
                <w:rFonts w:ascii="Trebuchet MS" w:hAnsi="Trebuchet MS"/>
                <w:sz w:val="20"/>
              </w:rPr>
              <w:t xml:space="preserve">a soukromého </w:t>
            </w:r>
            <w:r w:rsidRPr="00727829">
              <w:rPr>
                <w:rFonts w:ascii="Trebuchet MS" w:hAnsi="Trebuchet MS"/>
                <w:sz w:val="20"/>
              </w:rPr>
              <w:t>sektoru týkající se udržitelného využívání kulturního dědictví a zdrojů v určitém časovém bodě. Referenčním územím je celá oblast programu CENTRAL EUROPE, jak je definováno v </w:t>
            </w:r>
            <w:r w:rsidR="00971105" w:rsidRPr="00BE6C98">
              <w:rPr>
                <w:rFonts w:ascii="Trebuchet MS" w:hAnsi="Trebuchet MS"/>
                <w:sz w:val="20"/>
              </w:rPr>
              <w:t>příloze</w:t>
            </w:r>
            <w:r w:rsidRPr="00727829">
              <w:rPr>
                <w:rFonts w:ascii="Trebuchet MS" w:hAnsi="Trebuchet MS"/>
                <w:sz w:val="20"/>
              </w:rPr>
              <w:t xml:space="preserve"> č. 3. </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Kulturní dědictví sestává z hmotného dědictví včetně budov a historických lokalit, památníků apod.</w:t>
            </w:r>
            <w:r w:rsidR="00463519" w:rsidRPr="00463519">
              <w:rPr>
                <w:rFonts w:ascii="Trebuchet MS" w:hAnsi="Trebuchet MS"/>
                <w:sz w:val="20"/>
                <w:vertAlign w:val="superscript"/>
              </w:rPr>
              <w:footnoteReference w:id="6"/>
            </w:r>
            <w:r w:rsidRPr="00727829">
              <w:rPr>
                <w:rFonts w:ascii="Trebuchet MS" w:hAnsi="Trebuchet MS"/>
                <w:sz w:val="20"/>
              </w:rPr>
              <w:t xml:space="preserve"> a nehmotného kulturního dědictví, které sestává z postupů, ztvárnění, vyjádření, znalostí, dovedností apod. (UNESCO 2003: Úmluva o zachování nehmotného kulturního dědictví).</w:t>
            </w:r>
          </w:p>
          <w:p w:rsidR="009D674E" w:rsidRPr="00727829" w:rsidRDefault="009D674E" w:rsidP="00727829">
            <w:pPr>
              <w:spacing w:before="120" w:after="120" w:line="240" w:lineRule="auto"/>
              <w:jc w:val="both"/>
              <w:rPr>
                <w:rFonts w:ascii="Trebuchet MS" w:hAnsi="Trebuchet MS"/>
                <w:bCs/>
                <w:sz w:val="20"/>
              </w:rPr>
            </w:pPr>
            <w:r w:rsidRPr="00727829">
              <w:rPr>
                <w:rFonts w:ascii="Trebuchet MS" w:hAnsi="Trebuchet MS"/>
                <w:sz w:val="20"/>
              </w:rPr>
              <w:t>Kulturní zdroje obsahují oba prvky, hmotné a nehmotné kulturní dědictví zahrnující současnou kulturu včetně progresivní, inovativní a městské kultury. Tyto zdroje lze zhodnotit mj. v rámci kulturních a kreativních odvětví.</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Za kapacity se považuje prováděcí politika, právní a institucionální prostředí včetně rozvoje li</w:t>
            </w:r>
            <w:r w:rsidR="005452F2">
              <w:rPr>
                <w:rFonts w:ascii="Trebuchet MS" w:hAnsi="Trebuchet MS"/>
                <w:sz w:val="20"/>
              </w:rPr>
              <w:t xml:space="preserve">dských zdrojů a příslušných </w:t>
            </w:r>
            <w:proofErr w:type="gramStart"/>
            <w:r w:rsidR="005452F2">
              <w:rPr>
                <w:rFonts w:ascii="Trebuchet MS" w:hAnsi="Trebuchet MS"/>
                <w:sz w:val="20"/>
              </w:rPr>
              <w:t>řídí</w:t>
            </w:r>
            <w:r w:rsidRPr="00727829">
              <w:rPr>
                <w:rFonts w:ascii="Trebuchet MS" w:hAnsi="Trebuchet MS"/>
                <w:sz w:val="20"/>
              </w:rPr>
              <w:t>cích</w:t>
            </w:r>
            <w:proofErr w:type="gramEnd"/>
            <w:r w:rsidRPr="00727829">
              <w:rPr>
                <w:rFonts w:ascii="Trebuchet MS" w:hAnsi="Trebuchet MS"/>
                <w:sz w:val="20"/>
              </w:rPr>
              <w:t xml:space="preserve"> systémů.</w:t>
            </w:r>
          </w:p>
          <w:p w:rsidR="009D674E" w:rsidRPr="00727829" w:rsidRDefault="009D674E" w:rsidP="00727829">
            <w:pPr>
              <w:spacing w:before="120" w:after="120" w:line="240" w:lineRule="auto"/>
              <w:jc w:val="both"/>
              <w:rPr>
                <w:rFonts w:ascii="Trebuchet MS" w:hAnsi="Trebuchet MS"/>
                <w:bCs/>
                <w:sz w:val="20"/>
              </w:rPr>
            </w:pPr>
            <w:r w:rsidRPr="00727829">
              <w:rPr>
                <w:rFonts w:ascii="Trebuchet MS" w:hAnsi="Trebuchet MS"/>
                <w:sz w:val="20"/>
              </w:rPr>
              <w:t>Za udržitelné využívání se považuje využívání respektující zásady udržitelnosti.</w:t>
            </w:r>
          </w:p>
        </w:tc>
        <w:tc>
          <w:tcPr>
            <w:tcW w:w="2471" w:type="dxa"/>
            <w:tcBorders>
              <w:top w:val="single" w:sz="8" w:space="0" w:color="4F81BD"/>
              <w:bottom w:val="single" w:sz="8" w:space="0" w:color="4F81BD"/>
              <w:right w:val="single" w:sz="8" w:space="0" w:color="4F81BD"/>
            </w:tcBorders>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informovanosti o hospodářském potenciálu a odborných znalostí týkajících se rozvoje kulturních a kreativních odvětví </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znalostí a implementační kapacity týkajících se udržitelného využívání kulturního dědictví pro regionální rozvoj a tvorbu pracovních míst</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nadnárodních vazeb mezi kulturními památkami</w:t>
            </w:r>
            <w:r w:rsidR="003A0768">
              <w:rPr>
                <w:rFonts w:ascii="Trebuchet MS" w:hAnsi="Trebuchet MS"/>
                <w:bCs/>
                <w:sz w:val="20"/>
              </w:rPr>
              <w:t xml:space="preserve"> a institucemi</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3A0768" w:rsidP="00727829">
            <w:pPr>
              <w:pStyle w:val="Text1"/>
              <w:numPr>
                <w:ilvl w:val="0"/>
                <w:numId w:val="5"/>
              </w:numPr>
              <w:spacing w:after="0"/>
              <w:ind w:left="317" w:hanging="284"/>
              <w:jc w:val="left"/>
              <w:rPr>
                <w:rFonts w:ascii="Trebuchet MS" w:hAnsi="Trebuchet MS"/>
                <w:b/>
                <w:bCs/>
                <w:sz w:val="20"/>
              </w:rPr>
            </w:pPr>
            <w:r>
              <w:rPr>
                <w:rFonts w:ascii="Trebuchet MS" w:hAnsi="Trebuchet MS"/>
                <w:bCs/>
                <w:sz w:val="20"/>
              </w:rPr>
              <w:t xml:space="preserve">Míra postoupení </w:t>
            </w:r>
            <w:r w:rsidR="009D674E" w:rsidRPr="00727829">
              <w:rPr>
                <w:rFonts w:ascii="Trebuchet MS" w:hAnsi="Trebuchet MS"/>
                <w:bCs/>
                <w:sz w:val="20"/>
              </w:rPr>
              <w:t>výsled</w:t>
            </w:r>
            <w:r>
              <w:rPr>
                <w:rFonts w:ascii="Trebuchet MS" w:hAnsi="Trebuchet MS"/>
                <w:bCs/>
                <w:sz w:val="20"/>
              </w:rPr>
              <w:t>ků</w:t>
            </w:r>
            <w:r w:rsidR="009D674E" w:rsidRPr="00727829">
              <w:rPr>
                <w:rFonts w:ascii="Trebuchet MS" w:hAnsi="Trebuchet MS"/>
                <w:bCs/>
                <w:sz w:val="20"/>
              </w:rPr>
              <w:t xml:space="preserve"> projektu (včetně testovaných pilotních řešení) příslušným zainteresovaným stranám</w:t>
            </w:r>
          </w:p>
          <w:p w:rsidR="009D674E" w:rsidRPr="00727829" w:rsidRDefault="009D674E" w:rsidP="00727829">
            <w:pPr>
              <w:pStyle w:val="Text1"/>
              <w:spacing w:after="0"/>
              <w:ind w:left="0"/>
              <w:jc w:val="left"/>
              <w:rPr>
                <w:rFonts w:ascii="Trebuchet MS" w:hAnsi="Trebuchet MS"/>
                <w:b/>
                <w:bCs/>
                <w:sz w:val="20"/>
              </w:rPr>
            </w:pPr>
          </w:p>
        </w:tc>
      </w:tr>
      <w:tr w:rsidR="009D674E" w:rsidRPr="00727829" w:rsidTr="00727829">
        <w:tc>
          <w:tcPr>
            <w:tcW w:w="2236" w:type="dxa"/>
            <w:tcBorders>
              <w:bottom w:val="single" w:sz="8" w:space="0" w:color="4F81BD"/>
            </w:tcBorders>
          </w:tcPr>
          <w:p w:rsidR="009D674E" w:rsidRPr="00727829" w:rsidRDefault="009D674E" w:rsidP="005452F2">
            <w:pPr>
              <w:pStyle w:val="Text1"/>
              <w:spacing w:after="0"/>
              <w:ind w:left="360" w:hanging="360"/>
              <w:jc w:val="left"/>
              <w:rPr>
                <w:rFonts w:ascii="Trebuchet MS" w:hAnsi="Trebuchet MS"/>
                <w:b/>
                <w:bCs/>
                <w:sz w:val="20"/>
                <w:highlight w:val="yellow"/>
              </w:rPr>
            </w:pPr>
            <w:r w:rsidRPr="00727829">
              <w:rPr>
                <w:rFonts w:ascii="Trebuchet MS" w:hAnsi="Trebuchet MS"/>
                <w:b/>
                <w:bCs/>
                <w:sz w:val="20"/>
              </w:rPr>
              <w:t>3.3 Stav kapacit integrovaného řízení ochrany životního prostředí veřejného sektoru ve funkčních</w:t>
            </w:r>
            <w:r w:rsidR="00FB67BA">
              <w:rPr>
                <w:rFonts w:ascii="Trebuchet MS" w:hAnsi="Trebuchet MS"/>
                <w:b/>
                <w:bCs/>
                <w:sz w:val="20"/>
              </w:rPr>
              <w:t xml:space="preserve"> </w:t>
            </w:r>
            <w:r w:rsidRPr="00727829">
              <w:rPr>
                <w:rFonts w:ascii="Trebuchet MS" w:hAnsi="Trebuchet MS"/>
                <w:b/>
                <w:bCs/>
                <w:sz w:val="20"/>
              </w:rPr>
              <w:t xml:space="preserve">městských oblastech umožňujících, aby se z nich stala lepší místa </w:t>
            </w:r>
            <w:r w:rsidR="005452F2">
              <w:rPr>
                <w:rFonts w:ascii="Trebuchet MS" w:hAnsi="Trebuchet MS"/>
                <w:b/>
                <w:bCs/>
                <w:sz w:val="20"/>
              </w:rPr>
              <w:t>pro život</w:t>
            </w:r>
          </w:p>
        </w:tc>
        <w:tc>
          <w:tcPr>
            <w:tcW w:w="4535" w:type="dxa"/>
            <w:tcBorders>
              <w:left w:val="single" w:sz="8" w:space="0" w:color="4F81BD"/>
              <w:bottom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Tento ukazatel měří kapacity integrovaného řízení ochrany životního prostředí veřejného sektoru ve funkčních městských oblastech v určitém časovém bodě. Referenčním územím je celá oblast programu CENTRAL EUROPE, jak je definováno v </w:t>
            </w:r>
            <w:r w:rsidR="00971105" w:rsidRPr="00BE6C98">
              <w:rPr>
                <w:rFonts w:ascii="Trebuchet MS" w:hAnsi="Trebuchet MS"/>
                <w:sz w:val="20"/>
              </w:rPr>
              <w:t>příloze</w:t>
            </w:r>
            <w:r w:rsidRPr="00727829">
              <w:rPr>
                <w:rFonts w:ascii="Trebuchet MS" w:hAnsi="Trebuchet MS"/>
                <w:sz w:val="20"/>
              </w:rPr>
              <w:t xml:space="preserve"> č. 3.</w:t>
            </w:r>
          </w:p>
          <w:p w:rsidR="009D674E" w:rsidRPr="00727829" w:rsidRDefault="009D674E" w:rsidP="00727829">
            <w:pPr>
              <w:spacing w:before="120" w:after="120" w:line="240" w:lineRule="auto"/>
              <w:jc w:val="both"/>
              <w:rPr>
                <w:rFonts w:ascii="Trebuchet MS" w:hAnsi="Trebuchet MS"/>
                <w:bCs/>
                <w:sz w:val="20"/>
                <w:szCs w:val="20"/>
              </w:rPr>
            </w:pPr>
            <w:r w:rsidRPr="00727829">
              <w:rPr>
                <w:rFonts w:ascii="Trebuchet MS" w:hAnsi="Trebuchet MS"/>
                <w:sz w:val="20"/>
              </w:rPr>
              <w:t xml:space="preserve">Integrované řízení ochrany životního prostředí znamená komplexní přístup k plánování a řízení přírodních zdrojů, který zahrnuje ekologické, sociální a ekonomické cíle. Bere v úvahu vzájemné vztahy mezi různými subjekty a pracuje s pojmy únosnost, odolnost a udržitelnost. </w:t>
            </w:r>
            <w:r w:rsidR="00FB67BA">
              <w:rPr>
                <w:rFonts w:ascii="Trebuchet MS" w:hAnsi="Trebuchet MS"/>
                <w:sz w:val="20"/>
              </w:rPr>
              <w:t>V</w:t>
            </w:r>
            <w:r w:rsidRPr="00727829">
              <w:rPr>
                <w:rFonts w:ascii="Trebuchet MS" w:hAnsi="Trebuchet MS"/>
                <w:sz w:val="20"/>
              </w:rPr>
              <w:t xml:space="preserve"> městském prostředí to také znamená řešení souvisejících problémů, jakými </w:t>
            </w:r>
            <w:r w:rsidRPr="00727829">
              <w:rPr>
                <w:rFonts w:ascii="Trebuchet MS" w:hAnsi="Trebuchet MS"/>
                <w:sz w:val="20"/>
              </w:rPr>
              <w:lastRenderedPageBreak/>
              <w:t>jsou správa a řízení měst, integrované územní plánování, dobré hospodářské podmínky a konkurenceschopnost, sociální začleňování a správa životního prostředí (Evropská komise, 2005: Integrované řízení ochrany životního prostředí).</w:t>
            </w:r>
          </w:p>
          <w:p w:rsidR="009D674E" w:rsidRPr="00727829" w:rsidRDefault="009D674E" w:rsidP="00727829">
            <w:pPr>
              <w:pStyle w:val="Text1"/>
              <w:spacing w:before="120" w:after="120"/>
              <w:ind w:left="0"/>
              <w:rPr>
                <w:rFonts w:ascii="Trebuchet MS" w:hAnsi="Trebuchet MS"/>
                <w:sz w:val="20"/>
                <w:szCs w:val="22"/>
              </w:rPr>
            </w:pPr>
            <w:r w:rsidRPr="00727829">
              <w:rPr>
                <w:rFonts w:ascii="Trebuchet MS" w:hAnsi="Trebuchet MS"/>
                <w:sz w:val="20"/>
              </w:rPr>
              <w:t>Funkční městská oblast je funkční hospodářskou jednotkou, kterou charakterizují hustě obydlená „městská jádra“ a „okrajové části“, jejichž trh práce je úzce integrován do jader (</w:t>
            </w:r>
            <w:proofErr w:type="spellStart"/>
            <w:r w:rsidRPr="00727829">
              <w:rPr>
                <w:rFonts w:ascii="Trebuchet MS" w:hAnsi="Trebuchet MS"/>
                <w:sz w:val="20"/>
              </w:rPr>
              <w:t>OECD</w:t>
            </w:r>
            <w:proofErr w:type="spellEnd"/>
            <w:r w:rsidRPr="00727829">
              <w:rPr>
                <w:rFonts w:ascii="Trebuchet MS" w:hAnsi="Trebuchet MS"/>
                <w:sz w:val="20"/>
              </w:rPr>
              <w:t>, 2012). Tato definice založená na trhu práce a faktorech dojíždění poskytuje územní vymezení přesahující administrativní hranice, což je relevantní pro mnoho tematických oblastí.</w:t>
            </w:r>
          </w:p>
          <w:p w:rsidR="009D674E" w:rsidRPr="00727829" w:rsidRDefault="009D674E" w:rsidP="00727829">
            <w:pPr>
              <w:spacing w:before="120" w:after="120" w:line="240" w:lineRule="auto"/>
              <w:jc w:val="both"/>
              <w:rPr>
                <w:rFonts w:ascii="Trebuchet MS" w:hAnsi="Trebuchet MS"/>
                <w:sz w:val="20"/>
              </w:rPr>
            </w:pPr>
            <w:r w:rsidRPr="00727829">
              <w:rPr>
                <w:rFonts w:ascii="Trebuchet MS" w:hAnsi="Trebuchet MS"/>
                <w:sz w:val="20"/>
              </w:rPr>
              <w:t>Za kapacity se považuje prováděcí politika, právní a institucionální prostředí včetně rozvoje li</w:t>
            </w:r>
            <w:r w:rsidR="005452F2">
              <w:rPr>
                <w:rFonts w:ascii="Trebuchet MS" w:hAnsi="Trebuchet MS"/>
                <w:sz w:val="20"/>
              </w:rPr>
              <w:t xml:space="preserve">dských zdrojů a příslušných </w:t>
            </w:r>
            <w:proofErr w:type="gramStart"/>
            <w:r w:rsidR="005452F2">
              <w:rPr>
                <w:rFonts w:ascii="Trebuchet MS" w:hAnsi="Trebuchet MS"/>
                <w:sz w:val="20"/>
              </w:rPr>
              <w:t>řídí</w:t>
            </w:r>
            <w:r w:rsidRPr="00727829">
              <w:rPr>
                <w:rFonts w:ascii="Trebuchet MS" w:hAnsi="Trebuchet MS"/>
                <w:sz w:val="20"/>
              </w:rPr>
              <w:t>cích</w:t>
            </w:r>
            <w:proofErr w:type="gramEnd"/>
            <w:r w:rsidRPr="00727829">
              <w:rPr>
                <w:rFonts w:ascii="Trebuchet MS" w:hAnsi="Trebuchet MS"/>
                <w:sz w:val="20"/>
              </w:rPr>
              <w:t xml:space="preserve"> systémů.</w:t>
            </w:r>
          </w:p>
        </w:tc>
        <w:tc>
          <w:tcPr>
            <w:tcW w:w="2471" w:type="dxa"/>
            <w:tcBorders>
              <w:bottom w:val="single" w:sz="8" w:space="0" w:color="4F81BD"/>
            </w:tcBorders>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lastRenderedPageBreak/>
              <w:t>Míra kompetencí veřejného sektoru a souvisejících subjektů týkajících se integrovaného řízení s cílem zabránit střetům ohledně způsobů využívání půdy ve funkčních městských oblastech</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 xml:space="preserve">Míra znalostí a implementační kapacity veřejného </w:t>
            </w:r>
            <w:r w:rsidRPr="00727829">
              <w:rPr>
                <w:rFonts w:ascii="Trebuchet MS" w:hAnsi="Trebuchet MS"/>
                <w:bCs/>
                <w:sz w:val="20"/>
              </w:rPr>
              <w:lastRenderedPageBreak/>
              <w:t>sektoru a souvisejících subjektů týkajících se obnovy a opětovného využití brownfieldů ve funkčních městských oblastech</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znalostí a implementační kapacity veřejného sektoru a souvisejících subjektů týkajících se integrovaných strategií pro zlepšení kvality životního prostředí (ovzduší, voda, odpady, půda, klima) ve funkčních městských oblastech</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3A0768" w:rsidP="00727829">
            <w:pPr>
              <w:pStyle w:val="Text1"/>
              <w:numPr>
                <w:ilvl w:val="0"/>
                <w:numId w:val="5"/>
              </w:numPr>
              <w:spacing w:after="0"/>
              <w:ind w:left="317" w:hanging="284"/>
              <w:jc w:val="left"/>
              <w:rPr>
                <w:rFonts w:ascii="Trebuchet MS" w:hAnsi="Trebuchet MS"/>
                <w:b/>
                <w:bCs/>
                <w:sz w:val="20"/>
              </w:rPr>
            </w:pPr>
            <w:r>
              <w:rPr>
                <w:rFonts w:ascii="Trebuchet MS" w:hAnsi="Trebuchet MS"/>
                <w:bCs/>
                <w:sz w:val="20"/>
              </w:rPr>
              <w:t xml:space="preserve">Míra postoupení </w:t>
            </w:r>
            <w:r w:rsidR="009D674E" w:rsidRPr="00727829">
              <w:rPr>
                <w:rFonts w:ascii="Trebuchet MS" w:hAnsi="Trebuchet MS"/>
                <w:bCs/>
                <w:sz w:val="20"/>
              </w:rPr>
              <w:t>výsled</w:t>
            </w:r>
            <w:r>
              <w:rPr>
                <w:rFonts w:ascii="Trebuchet MS" w:hAnsi="Trebuchet MS"/>
                <w:bCs/>
                <w:sz w:val="20"/>
              </w:rPr>
              <w:t>ků</w:t>
            </w:r>
            <w:r w:rsidR="009D674E" w:rsidRPr="00727829">
              <w:rPr>
                <w:rFonts w:ascii="Trebuchet MS" w:hAnsi="Trebuchet MS"/>
                <w:bCs/>
                <w:sz w:val="20"/>
              </w:rPr>
              <w:t xml:space="preserve"> projektu (včetně testovaných pilotních řešení) příslušným zainteresovaným stranám</w:t>
            </w:r>
          </w:p>
          <w:p w:rsidR="009D674E" w:rsidRPr="00727829" w:rsidRDefault="009D674E" w:rsidP="00727829">
            <w:pPr>
              <w:pStyle w:val="Text1"/>
              <w:spacing w:after="0"/>
              <w:ind w:left="33"/>
              <w:jc w:val="left"/>
              <w:rPr>
                <w:rFonts w:ascii="Trebuchet MS" w:hAnsi="Trebuchet MS"/>
                <w:b/>
                <w:bCs/>
                <w:sz w:val="20"/>
              </w:rPr>
            </w:pPr>
          </w:p>
        </w:tc>
      </w:tr>
      <w:tr w:rsidR="009D674E" w:rsidRPr="00727829" w:rsidTr="00727829">
        <w:tc>
          <w:tcPr>
            <w:tcW w:w="2236" w:type="dxa"/>
            <w:tcBorders>
              <w:top w:val="single" w:sz="8" w:space="0" w:color="4F81BD"/>
              <w:left w:val="single" w:sz="8" w:space="0" w:color="4F81BD"/>
            </w:tcBorders>
          </w:tcPr>
          <w:p w:rsidR="009D674E" w:rsidRPr="00727829" w:rsidRDefault="009D674E" w:rsidP="00727829">
            <w:pPr>
              <w:pStyle w:val="Text1"/>
              <w:spacing w:after="0"/>
              <w:ind w:left="360" w:hanging="360"/>
              <w:jc w:val="left"/>
              <w:rPr>
                <w:rFonts w:ascii="Trebuchet MS" w:hAnsi="Trebuchet MS"/>
                <w:b/>
                <w:bCs/>
                <w:sz w:val="20"/>
              </w:rPr>
            </w:pPr>
            <w:r w:rsidRPr="00727829">
              <w:rPr>
                <w:rFonts w:ascii="Trebuchet MS" w:hAnsi="Trebuchet MS"/>
                <w:b/>
                <w:bCs/>
                <w:sz w:val="20"/>
              </w:rPr>
              <w:lastRenderedPageBreak/>
              <w:t>4.1 Stav kapacit koordinovaného plánování veřejného sektoru a souvisejících subjektů týkajících se systémů regionální osobní dopravy napojených na národní a evropské dopravní sítě</w:t>
            </w:r>
          </w:p>
        </w:tc>
        <w:tc>
          <w:tcPr>
            <w:tcW w:w="4535" w:type="dxa"/>
            <w:tcBorders>
              <w:top w:val="single" w:sz="8" w:space="0" w:color="4F81BD"/>
              <w:left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sz w:val="20"/>
              </w:rPr>
            </w:pPr>
            <w:r w:rsidRPr="00727829">
              <w:rPr>
                <w:rFonts w:ascii="Trebuchet MS" w:hAnsi="Trebuchet MS"/>
                <w:sz w:val="20"/>
              </w:rPr>
              <w:t>Tento ukazatel měří kapacity veřejného sektoru a souvisejících subjektů týkající se koordinovaného plánování systémů regionální osobní dopravy napojených na národní a evropské dopravní sítě</w:t>
            </w:r>
            <w:r w:rsidR="00FB67BA">
              <w:rPr>
                <w:rFonts w:ascii="Trebuchet MS" w:hAnsi="Trebuchet MS"/>
                <w:sz w:val="20"/>
              </w:rPr>
              <w:t>.</w:t>
            </w:r>
            <w:r w:rsidRPr="00727829">
              <w:rPr>
                <w:rFonts w:ascii="Trebuchet MS" w:hAnsi="Trebuchet MS"/>
                <w:sz w:val="20"/>
              </w:rPr>
              <w:t xml:space="preserve"> Referenčním územím je celá oblast programu CENTRAL EUROPE, jak je definováno v </w:t>
            </w:r>
            <w:r w:rsidR="00971105" w:rsidRPr="00BE6C98">
              <w:rPr>
                <w:rFonts w:ascii="Trebuchet MS" w:hAnsi="Trebuchet MS"/>
                <w:sz w:val="20"/>
              </w:rPr>
              <w:t>příloze</w:t>
            </w:r>
            <w:r w:rsidRPr="00727829">
              <w:rPr>
                <w:rFonts w:ascii="Trebuchet MS" w:hAnsi="Trebuchet MS"/>
                <w:sz w:val="20"/>
              </w:rPr>
              <w:t xml:space="preserve"> č. 3.</w:t>
            </w:r>
          </w:p>
          <w:p w:rsidR="009D674E" w:rsidRPr="00727829" w:rsidRDefault="009D674E" w:rsidP="00727829">
            <w:pPr>
              <w:pStyle w:val="Text1"/>
              <w:spacing w:before="120" w:after="120"/>
              <w:ind w:left="0"/>
              <w:rPr>
                <w:rFonts w:ascii="Trebuchet MS" w:hAnsi="Trebuchet MS"/>
                <w:sz w:val="20"/>
                <w:szCs w:val="22"/>
              </w:rPr>
            </w:pPr>
            <w:r w:rsidRPr="00727829">
              <w:rPr>
                <w:rFonts w:ascii="Trebuchet MS" w:hAnsi="Trebuchet MS"/>
                <w:sz w:val="20"/>
              </w:rPr>
              <w:t>Systém regionální osobní dopravy může být definován jako kombinace dopravních prostředků, infrastruktury a činností, které umožňují pohyb a uspokojují přepravní poptávku osob v dané oblasti.</w:t>
            </w:r>
          </w:p>
          <w:p w:rsidR="009D674E" w:rsidRPr="00727829" w:rsidRDefault="009D674E" w:rsidP="00727829">
            <w:pPr>
              <w:pStyle w:val="Text1"/>
              <w:spacing w:before="120" w:after="120"/>
              <w:ind w:left="0"/>
              <w:rPr>
                <w:rFonts w:ascii="Trebuchet MS" w:hAnsi="Trebuchet MS"/>
                <w:sz w:val="20"/>
                <w:szCs w:val="22"/>
              </w:rPr>
            </w:pPr>
            <w:r w:rsidRPr="00727829">
              <w:rPr>
                <w:rFonts w:ascii="Trebuchet MS" w:hAnsi="Trebuchet MS"/>
                <w:sz w:val="20"/>
              </w:rPr>
              <w:t>Evropské dopravní sítě je třeba chápat ve smyslu transevropských dopravních sítí (TEN-T) sestávajících z infrastruktury pro železnice, vnitrozemské vodní cesty, silnice, námořní a leteckou dopravu, jejímž prostřednictvím je zajišťováno bezproblémové fungování vnitřního trhu a posilování hospodářské a sociální soudržnosti</w:t>
            </w:r>
            <w:r w:rsidRPr="00727829">
              <w:rPr>
                <w:rStyle w:val="Znakapoznpodarou"/>
                <w:rFonts w:ascii="Trebuchet MS" w:hAnsi="Trebuchet MS"/>
                <w:sz w:val="20"/>
              </w:rPr>
              <w:footnoteReference w:id="7"/>
            </w:r>
            <w:r w:rsidRPr="00727829">
              <w:rPr>
                <w:rFonts w:ascii="Trebuchet MS" w:hAnsi="Trebuchet MS"/>
                <w:sz w:val="20"/>
              </w:rPr>
              <w:t xml:space="preserve">. Jádrová vrstva je tvořena částmi nejdůležitějšími ze strategického hlediska a představuje páteř multimodální sítě mobility. Soustředí se na prvky TEN-T s nejvyšší evropskou přidanou hodnotou: chybějící </w:t>
            </w:r>
            <w:r w:rsidRPr="00727829">
              <w:rPr>
                <w:rFonts w:ascii="Trebuchet MS" w:hAnsi="Trebuchet MS"/>
                <w:sz w:val="20"/>
              </w:rPr>
              <w:lastRenderedPageBreak/>
              <w:t>přeshraniční spojnice, nejdůležitější úzká místa a multimodální uzly.</w:t>
            </w:r>
          </w:p>
          <w:p w:rsidR="009D674E" w:rsidRPr="00727829" w:rsidRDefault="009D674E" w:rsidP="00727829">
            <w:pPr>
              <w:pStyle w:val="Text1"/>
              <w:spacing w:before="120" w:after="120"/>
              <w:ind w:left="0"/>
              <w:rPr>
                <w:rFonts w:ascii="Trebuchet MS" w:hAnsi="Trebuchet MS"/>
                <w:sz w:val="20"/>
              </w:rPr>
            </w:pPr>
            <w:r w:rsidRPr="00727829">
              <w:rPr>
                <w:rFonts w:ascii="Trebuchet MS" w:hAnsi="Trebuchet MS"/>
                <w:sz w:val="20"/>
              </w:rPr>
              <w:t>Koordinací se rozumí synchronizace a integ</w:t>
            </w:r>
            <w:r w:rsidR="005452F2">
              <w:rPr>
                <w:rFonts w:ascii="Trebuchet MS" w:hAnsi="Trebuchet MS"/>
                <w:sz w:val="20"/>
              </w:rPr>
              <w:t>race činností, povinností a řídí</w:t>
            </w:r>
            <w:r w:rsidRPr="00727829">
              <w:rPr>
                <w:rFonts w:ascii="Trebuchet MS" w:hAnsi="Trebuchet MS"/>
                <w:sz w:val="20"/>
              </w:rPr>
              <w:t>cích a kontrolních struktur, které zajišťují co možná nejefektivnější vynakládání zdrojů ke splnění stanovených cílů.</w:t>
            </w:r>
          </w:p>
          <w:p w:rsidR="009D674E" w:rsidRPr="00727829" w:rsidRDefault="009D674E" w:rsidP="00727829">
            <w:pPr>
              <w:pStyle w:val="Text1"/>
              <w:spacing w:before="120" w:after="120"/>
              <w:ind w:left="0"/>
              <w:rPr>
                <w:rFonts w:ascii="Trebuchet MS" w:hAnsi="Trebuchet MS"/>
                <w:sz w:val="20"/>
              </w:rPr>
            </w:pPr>
            <w:r w:rsidRPr="00727829">
              <w:rPr>
                <w:rFonts w:ascii="Trebuchet MS" w:hAnsi="Trebuchet MS"/>
                <w:sz w:val="20"/>
              </w:rPr>
              <w:t>Za kapacity se považuje prováděcí politika, právní a institucionální prostředí včetně rozvoje li</w:t>
            </w:r>
            <w:r w:rsidR="005452F2">
              <w:rPr>
                <w:rFonts w:ascii="Trebuchet MS" w:hAnsi="Trebuchet MS"/>
                <w:sz w:val="20"/>
              </w:rPr>
              <w:t xml:space="preserve">dských zdrojů a příslušných </w:t>
            </w:r>
            <w:proofErr w:type="gramStart"/>
            <w:r w:rsidR="005452F2">
              <w:rPr>
                <w:rFonts w:ascii="Trebuchet MS" w:hAnsi="Trebuchet MS"/>
                <w:sz w:val="20"/>
              </w:rPr>
              <w:t>řídí</w:t>
            </w:r>
            <w:r w:rsidRPr="00727829">
              <w:rPr>
                <w:rFonts w:ascii="Trebuchet MS" w:hAnsi="Trebuchet MS"/>
                <w:sz w:val="20"/>
              </w:rPr>
              <w:t>cích</w:t>
            </w:r>
            <w:proofErr w:type="gramEnd"/>
            <w:r w:rsidRPr="00727829">
              <w:rPr>
                <w:rFonts w:ascii="Trebuchet MS" w:hAnsi="Trebuchet MS"/>
                <w:sz w:val="20"/>
              </w:rPr>
              <w:t xml:space="preserve"> systémů.</w:t>
            </w:r>
          </w:p>
        </w:tc>
        <w:tc>
          <w:tcPr>
            <w:tcW w:w="2471" w:type="dxa"/>
            <w:tcBorders>
              <w:top w:val="single" w:sz="8" w:space="0" w:color="4F81BD"/>
              <w:right w:val="single" w:sz="8" w:space="0" w:color="4F81BD"/>
            </w:tcBorders>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lastRenderedPageBreak/>
              <w:t>Míra odborných znalostí a implementační kapacity potřebných pro napojení systémů regionální osobní dopravy na národní sítě a sítě TEN-T</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koordinace aktérů v oblasti osobní dopravy v rámci regionů a mezi nimi přispívající k zajištění lepších služeb regionální přepravy</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3A0768" w:rsidP="00727829">
            <w:pPr>
              <w:pStyle w:val="Text1"/>
              <w:numPr>
                <w:ilvl w:val="0"/>
                <w:numId w:val="5"/>
              </w:numPr>
              <w:spacing w:after="0"/>
              <w:ind w:left="317" w:hanging="284"/>
              <w:jc w:val="left"/>
              <w:rPr>
                <w:rFonts w:ascii="Trebuchet MS" w:hAnsi="Trebuchet MS"/>
                <w:b/>
                <w:bCs/>
                <w:sz w:val="20"/>
              </w:rPr>
            </w:pPr>
            <w:r>
              <w:rPr>
                <w:rFonts w:ascii="Trebuchet MS" w:hAnsi="Trebuchet MS"/>
                <w:bCs/>
                <w:sz w:val="20"/>
              </w:rPr>
              <w:t xml:space="preserve">Míra postoupení </w:t>
            </w:r>
            <w:r w:rsidR="009D674E" w:rsidRPr="00727829">
              <w:rPr>
                <w:rFonts w:ascii="Trebuchet MS" w:hAnsi="Trebuchet MS"/>
                <w:bCs/>
                <w:sz w:val="20"/>
              </w:rPr>
              <w:t>výsled</w:t>
            </w:r>
            <w:r>
              <w:rPr>
                <w:rFonts w:ascii="Trebuchet MS" w:hAnsi="Trebuchet MS"/>
                <w:bCs/>
                <w:sz w:val="20"/>
              </w:rPr>
              <w:t>ků</w:t>
            </w:r>
            <w:r w:rsidR="009D674E" w:rsidRPr="00727829">
              <w:rPr>
                <w:rFonts w:ascii="Trebuchet MS" w:hAnsi="Trebuchet MS"/>
                <w:bCs/>
                <w:sz w:val="20"/>
              </w:rPr>
              <w:t xml:space="preserve"> projektu (včetně testovaných pilotních řešení) příslušným zainteresovaným stranám</w:t>
            </w:r>
          </w:p>
          <w:p w:rsidR="009D674E" w:rsidRPr="00727829" w:rsidRDefault="009D674E" w:rsidP="00727829">
            <w:pPr>
              <w:pStyle w:val="Text1"/>
              <w:spacing w:after="0"/>
              <w:ind w:left="0"/>
              <w:jc w:val="left"/>
              <w:rPr>
                <w:rFonts w:ascii="Trebuchet MS" w:hAnsi="Trebuchet MS"/>
                <w:b/>
                <w:bCs/>
                <w:sz w:val="20"/>
              </w:rPr>
            </w:pPr>
          </w:p>
        </w:tc>
      </w:tr>
      <w:tr w:rsidR="009D674E" w:rsidRPr="00727829" w:rsidTr="001904B0">
        <w:tc>
          <w:tcPr>
            <w:tcW w:w="2236" w:type="dxa"/>
            <w:tcBorders>
              <w:left w:val="single" w:sz="8" w:space="0" w:color="4F81BD"/>
            </w:tcBorders>
          </w:tcPr>
          <w:p w:rsidR="009D674E" w:rsidRPr="00727829" w:rsidRDefault="009D674E" w:rsidP="00727829">
            <w:pPr>
              <w:pStyle w:val="Text1"/>
              <w:spacing w:after="0"/>
              <w:ind w:left="360" w:hanging="360"/>
              <w:jc w:val="left"/>
              <w:rPr>
                <w:rFonts w:ascii="Trebuchet MS" w:hAnsi="Trebuchet MS"/>
                <w:b/>
                <w:bCs/>
                <w:sz w:val="20"/>
              </w:rPr>
            </w:pPr>
            <w:r w:rsidRPr="00727829">
              <w:rPr>
                <w:rFonts w:ascii="Trebuchet MS" w:hAnsi="Trebuchet MS"/>
                <w:b/>
                <w:bCs/>
                <w:sz w:val="20"/>
              </w:rPr>
              <w:lastRenderedPageBreak/>
              <w:t>4.2 Stav koordinace mezi zainteresovanými stranami působícími v oblasti nákladní dopravy s cílem zvýšit využití multimodálních ekologických řešení nákladní dopravy</w:t>
            </w:r>
          </w:p>
        </w:tc>
        <w:tc>
          <w:tcPr>
            <w:tcW w:w="4535" w:type="dxa"/>
            <w:tcBorders>
              <w:left w:val="single" w:sz="8" w:space="0" w:color="4F81BD"/>
              <w:right w:val="single" w:sz="8" w:space="0" w:color="4F81BD"/>
            </w:tcBorders>
          </w:tcPr>
          <w:p w:rsidR="009D674E" w:rsidRPr="00727829" w:rsidRDefault="009D674E" w:rsidP="00727829">
            <w:pPr>
              <w:spacing w:before="120" w:after="120" w:line="240" w:lineRule="auto"/>
              <w:jc w:val="both"/>
              <w:rPr>
                <w:rFonts w:ascii="Trebuchet MS" w:hAnsi="Trebuchet MS"/>
                <w:b/>
                <w:bCs/>
                <w:sz w:val="20"/>
                <w:szCs w:val="20"/>
              </w:rPr>
            </w:pPr>
            <w:r w:rsidRPr="00727829">
              <w:rPr>
                <w:rFonts w:ascii="Trebuchet MS" w:hAnsi="Trebuchet MS"/>
                <w:bCs/>
                <w:sz w:val="20"/>
              </w:rPr>
              <w:t>Tento ukazatel měří míru koordinace mezi subjekty působícími v oblasti nákladní dopravy v určitém časovém bodě. Referenčním územím je celá oblast programu CENTRAL EUROPE, jak je definováno v </w:t>
            </w:r>
            <w:r w:rsidR="00971105" w:rsidRPr="00BE6C98">
              <w:rPr>
                <w:rFonts w:ascii="Trebuchet MS" w:hAnsi="Trebuchet MS"/>
                <w:bCs/>
                <w:sz w:val="20"/>
              </w:rPr>
              <w:t>příloze</w:t>
            </w:r>
            <w:r w:rsidRPr="00727829">
              <w:rPr>
                <w:rFonts w:ascii="Trebuchet MS" w:hAnsi="Trebuchet MS"/>
                <w:bCs/>
                <w:sz w:val="20"/>
              </w:rPr>
              <w:t xml:space="preserve"> č. 3.</w:t>
            </w:r>
          </w:p>
          <w:p w:rsidR="009D674E" w:rsidRPr="00727829" w:rsidRDefault="009D674E" w:rsidP="00727829">
            <w:pPr>
              <w:pStyle w:val="Text1"/>
              <w:spacing w:before="120" w:after="120"/>
              <w:ind w:left="0"/>
              <w:rPr>
                <w:rFonts w:ascii="Trebuchet MS" w:hAnsi="Trebuchet MS"/>
                <w:b/>
                <w:bCs/>
                <w:sz w:val="20"/>
              </w:rPr>
            </w:pPr>
            <w:r w:rsidRPr="00727829">
              <w:rPr>
                <w:rFonts w:ascii="Trebuchet MS" w:hAnsi="Trebuchet MS"/>
                <w:bCs/>
                <w:sz w:val="20"/>
              </w:rPr>
              <w:t xml:space="preserve">Multimodální (nákladní) doprava je chápána jako přeprava zboží nejméně dvěma různými druhy dopravy. Kombinovaná doprava je tedy určitým typem multimodální dopravy (v souladu s definicí Evropské konference ministrů dopravy, </w:t>
            </w:r>
            <w:proofErr w:type="spellStart"/>
            <w:r w:rsidRPr="00727829">
              <w:rPr>
                <w:rFonts w:ascii="Trebuchet MS" w:hAnsi="Trebuchet MS"/>
                <w:bCs/>
                <w:sz w:val="20"/>
              </w:rPr>
              <w:t>ECMT</w:t>
            </w:r>
            <w:proofErr w:type="spellEnd"/>
            <w:r w:rsidRPr="00727829">
              <w:rPr>
                <w:rFonts w:ascii="Trebuchet MS" w:hAnsi="Trebuchet MS"/>
                <w:bCs/>
                <w:sz w:val="20"/>
              </w:rPr>
              <w:t>). Dopravní řešení šetrná k životnímu prostředí jsou tedy ta, která umožní významné snížení emisí CO</w:t>
            </w:r>
            <w:r w:rsidRPr="00727829">
              <w:rPr>
                <w:rFonts w:ascii="Trebuchet MS" w:hAnsi="Trebuchet MS"/>
                <w:bCs/>
                <w:sz w:val="20"/>
                <w:vertAlign w:val="subscript"/>
              </w:rPr>
              <w:t>2</w:t>
            </w:r>
            <w:r w:rsidRPr="00727829">
              <w:rPr>
                <w:rFonts w:ascii="Trebuchet MS" w:hAnsi="Trebuchet MS"/>
                <w:bCs/>
                <w:sz w:val="20"/>
              </w:rPr>
              <w:t xml:space="preserve">, </w:t>
            </w:r>
            <w:proofErr w:type="spellStart"/>
            <w:r w:rsidRPr="00727829">
              <w:rPr>
                <w:rFonts w:ascii="Trebuchet MS" w:hAnsi="Trebuchet MS"/>
                <w:bCs/>
                <w:sz w:val="20"/>
              </w:rPr>
              <w:t>NO</w:t>
            </w:r>
            <w:r w:rsidRPr="00727829">
              <w:rPr>
                <w:rFonts w:ascii="Trebuchet MS" w:hAnsi="Trebuchet MS"/>
                <w:bCs/>
                <w:sz w:val="20"/>
                <w:vertAlign w:val="subscript"/>
              </w:rPr>
              <w:t>x</w:t>
            </w:r>
            <w:proofErr w:type="spellEnd"/>
            <w:r w:rsidRPr="00727829">
              <w:rPr>
                <w:rFonts w:ascii="Trebuchet MS" w:hAnsi="Trebuchet MS"/>
                <w:bCs/>
                <w:sz w:val="20"/>
              </w:rPr>
              <w:t>, pevných prachových částic, jakož i hluku.</w:t>
            </w:r>
          </w:p>
          <w:p w:rsidR="009D674E" w:rsidRPr="00727829" w:rsidRDefault="009D674E" w:rsidP="00727829">
            <w:pPr>
              <w:pStyle w:val="Text1"/>
              <w:spacing w:before="120" w:after="120"/>
              <w:ind w:left="0"/>
              <w:rPr>
                <w:rFonts w:ascii="Trebuchet MS" w:hAnsi="Trebuchet MS"/>
                <w:b/>
                <w:bCs/>
                <w:sz w:val="20"/>
              </w:rPr>
            </w:pPr>
            <w:r w:rsidRPr="00727829">
              <w:rPr>
                <w:rFonts w:ascii="Trebuchet MS" w:hAnsi="Trebuchet MS"/>
                <w:bCs/>
                <w:sz w:val="20"/>
              </w:rPr>
              <w:t>Koordinací se rozumí synchronizace a integ</w:t>
            </w:r>
            <w:r w:rsidR="005452F2">
              <w:rPr>
                <w:rFonts w:ascii="Trebuchet MS" w:hAnsi="Trebuchet MS"/>
                <w:bCs/>
                <w:sz w:val="20"/>
              </w:rPr>
              <w:t>race činností, povinností a řídí</w:t>
            </w:r>
            <w:r w:rsidRPr="00727829">
              <w:rPr>
                <w:rFonts w:ascii="Trebuchet MS" w:hAnsi="Trebuchet MS"/>
                <w:bCs/>
                <w:sz w:val="20"/>
              </w:rPr>
              <w:t>cích a kontrolních struktur, které zajišťují co možná nejefektivnější vynakládání zdrojů ke splnění stanovených cílů.</w:t>
            </w:r>
          </w:p>
        </w:tc>
        <w:tc>
          <w:tcPr>
            <w:tcW w:w="2471" w:type="dxa"/>
            <w:tcBorders>
              <w:right w:val="single" w:sz="8" w:space="0" w:color="4F81BD"/>
            </w:tcBorders>
          </w:tcPr>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koordinace mezi subjekty působícími v oblasti nákladní dopravy</w:t>
            </w:r>
            <w:r w:rsidR="00FB67BA">
              <w:rPr>
                <w:rFonts w:ascii="Trebuchet MS" w:hAnsi="Trebuchet MS"/>
                <w:bCs/>
                <w:sz w:val="20"/>
              </w:rPr>
              <w:t>,</w:t>
            </w:r>
            <w:r w:rsidRPr="00727829">
              <w:rPr>
                <w:rFonts w:ascii="Trebuchet MS" w:hAnsi="Trebuchet MS"/>
                <w:bCs/>
                <w:sz w:val="20"/>
              </w:rPr>
              <w:t xml:space="preserve"> pokud jde o implementaci multimodálních ekologických systémů nákladní dopravy</w:t>
            </w:r>
          </w:p>
          <w:p w:rsidR="009D674E" w:rsidRPr="00727829" w:rsidRDefault="009D674E" w:rsidP="00727829">
            <w:pPr>
              <w:pStyle w:val="Text1"/>
              <w:spacing w:after="0"/>
              <w:ind w:left="317"/>
              <w:jc w:val="left"/>
              <w:rPr>
                <w:rFonts w:ascii="Trebuchet MS" w:hAnsi="Trebuchet MS"/>
                <w:b/>
                <w:bCs/>
                <w:sz w:val="20"/>
              </w:rPr>
            </w:pPr>
          </w:p>
          <w:p w:rsidR="009D674E" w:rsidRPr="00727829" w:rsidRDefault="009D674E" w:rsidP="00727829">
            <w:pPr>
              <w:pStyle w:val="Text1"/>
              <w:numPr>
                <w:ilvl w:val="0"/>
                <w:numId w:val="5"/>
              </w:numPr>
              <w:spacing w:after="0"/>
              <w:ind w:left="317" w:hanging="284"/>
              <w:jc w:val="left"/>
              <w:rPr>
                <w:rFonts w:ascii="Trebuchet MS" w:hAnsi="Trebuchet MS"/>
                <w:b/>
                <w:bCs/>
                <w:sz w:val="20"/>
              </w:rPr>
            </w:pPr>
            <w:r w:rsidRPr="00727829">
              <w:rPr>
                <w:rFonts w:ascii="Trebuchet MS" w:hAnsi="Trebuchet MS"/>
                <w:bCs/>
                <w:sz w:val="20"/>
              </w:rPr>
              <w:t>Míra znalostí a implementačních kapacit potřebných pro „</w:t>
            </w:r>
            <w:proofErr w:type="spellStart"/>
            <w:r w:rsidRPr="00727829">
              <w:rPr>
                <w:rFonts w:ascii="Trebuchet MS" w:hAnsi="Trebuchet MS"/>
                <w:bCs/>
                <w:sz w:val="20"/>
              </w:rPr>
              <w:t>zekologičtění</w:t>
            </w:r>
            <w:proofErr w:type="spellEnd"/>
            <w:r w:rsidRPr="00727829">
              <w:rPr>
                <w:rFonts w:ascii="Trebuchet MS" w:hAnsi="Trebuchet MS"/>
                <w:bCs/>
                <w:sz w:val="20"/>
              </w:rPr>
              <w:t>“ posledního kilometru nákladní dopravy</w:t>
            </w:r>
          </w:p>
          <w:p w:rsidR="009D674E" w:rsidRPr="00727829" w:rsidRDefault="009D674E" w:rsidP="00727829">
            <w:pPr>
              <w:pStyle w:val="Odstavecseseznamem"/>
              <w:spacing w:after="0" w:line="240" w:lineRule="auto"/>
              <w:rPr>
                <w:rFonts w:ascii="Trebuchet MS" w:hAnsi="Trebuchet MS"/>
                <w:b/>
                <w:bCs/>
                <w:sz w:val="20"/>
              </w:rPr>
            </w:pPr>
          </w:p>
          <w:p w:rsidR="009D674E" w:rsidRPr="00727829" w:rsidRDefault="003A0768" w:rsidP="00727829">
            <w:pPr>
              <w:pStyle w:val="Text1"/>
              <w:numPr>
                <w:ilvl w:val="0"/>
                <w:numId w:val="5"/>
              </w:numPr>
              <w:spacing w:after="0"/>
              <w:ind w:left="317" w:hanging="284"/>
              <w:jc w:val="left"/>
              <w:rPr>
                <w:rFonts w:ascii="Trebuchet MS" w:hAnsi="Trebuchet MS"/>
                <w:b/>
                <w:bCs/>
                <w:sz w:val="20"/>
              </w:rPr>
            </w:pPr>
            <w:r>
              <w:rPr>
                <w:rFonts w:ascii="Trebuchet MS" w:hAnsi="Trebuchet MS"/>
                <w:bCs/>
                <w:sz w:val="20"/>
              </w:rPr>
              <w:t xml:space="preserve">Míra postoupení </w:t>
            </w:r>
            <w:r w:rsidR="009D674E" w:rsidRPr="00727829">
              <w:rPr>
                <w:rFonts w:ascii="Trebuchet MS" w:hAnsi="Trebuchet MS"/>
                <w:bCs/>
                <w:sz w:val="20"/>
              </w:rPr>
              <w:t>výsled</w:t>
            </w:r>
            <w:r>
              <w:rPr>
                <w:rFonts w:ascii="Trebuchet MS" w:hAnsi="Trebuchet MS"/>
                <w:bCs/>
                <w:sz w:val="20"/>
              </w:rPr>
              <w:t>ků</w:t>
            </w:r>
            <w:r w:rsidR="009D674E" w:rsidRPr="00727829">
              <w:rPr>
                <w:rFonts w:ascii="Trebuchet MS" w:hAnsi="Trebuchet MS"/>
                <w:bCs/>
                <w:sz w:val="20"/>
              </w:rPr>
              <w:t xml:space="preserve"> projektu (včetně testovaných pilotních řešení) příslušným zainteresovaným stranám</w:t>
            </w:r>
          </w:p>
          <w:p w:rsidR="009D674E" w:rsidRPr="00727829" w:rsidRDefault="009D674E" w:rsidP="00727829">
            <w:pPr>
              <w:pStyle w:val="Text1"/>
              <w:spacing w:after="0"/>
              <w:ind w:left="0"/>
              <w:jc w:val="left"/>
              <w:rPr>
                <w:rFonts w:ascii="Trebuchet MS" w:hAnsi="Trebuchet MS"/>
                <w:b/>
                <w:bCs/>
                <w:sz w:val="20"/>
              </w:rPr>
            </w:pPr>
          </w:p>
        </w:tc>
      </w:tr>
      <w:tr w:rsidR="001904B0" w:rsidRPr="00727829" w:rsidTr="005F5DAA">
        <w:tc>
          <w:tcPr>
            <w:tcW w:w="2236" w:type="dxa"/>
            <w:tcBorders>
              <w:left w:val="single" w:sz="8" w:space="0" w:color="4F81BD"/>
            </w:tcBorders>
          </w:tcPr>
          <w:p w:rsidR="001904B0" w:rsidRPr="00727829" w:rsidRDefault="001904B0" w:rsidP="00727829">
            <w:pPr>
              <w:pStyle w:val="Text1"/>
              <w:spacing w:after="0"/>
              <w:ind w:left="360" w:hanging="360"/>
              <w:jc w:val="left"/>
              <w:rPr>
                <w:rFonts w:ascii="Trebuchet MS" w:hAnsi="Trebuchet MS"/>
                <w:b/>
                <w:bCs/>
                <w:sz w:val="20"/>
              </w:rPr>
            </w:pPr>
            <w:r>
              <w:rPr>
                <w:rFonts w:ascii="Trebuchet MS" w:hAnsi="Trebuchet MS"/>
                <w:b/>
                <w:bCs/>
                <w:sz w:val="20"/>
              </w:rPr>
              <w:t>5.1 Míra spokojenosti příjemců</w:t>
            </w:r>
            <w:r w:rsidR="00E23A0E">
              <w:rPr>
                <w:rFonts w:ascii="Trebuchet MS" w:hAnsi="Trebuchet MS"/>
                <w:b/>
                <w:bCs/>
                <w:sz w:val="20"/>
              </w:rPr>
              <w:t xml:space="preserve"> s řízením programu</w:t>
            </w:r>
          </w:p>
        </w:tc>
        <w:tc>
          <w:tcPr>
            <w:tcW w:w="4535" w:type="dxa"/>
            <w:tcBorders>
              <w:left w:val="single" w:sz="8" w:space="0" w:color="4F81BD"/>
              <w:right w:val="single" w:sz="8" w:space="0" w:color="4F81BD"/>
            </w:tcBorders>
          </w:tcPr>
          <w:p w:rsidR="001904B0" w:rsidRDefault="001904B0" w:rsidP="00727829">
            <w:pPr>
              <w:spacing w:before="120" w:after="120" w:line="240" w:lineRule="auto"/>
              <w:jc w:val="both"/>
              <w:rPr>
                <w:rFonts w:ascii="Trebuchet MS" w:hAnsi="Trebuchet MS"/>
                <w:bCs/>
                <w:sz w:val="20"/>
              </w:rPr>
            </w:pPr>
            <w:r>
              <w:rPr>
                <w:rFonts w:ascii="Trebuchet MS" w:hAnsi="Trebuchet MS"/>
                <w:bCs/>
                <w:sz w:val="20"/>
              </w:rPr>
              <w:t>Tento ukazatel měří spokojenost příjemců s </w:t>
            </w:r>
            <w:r w:rsidR="00E23A0E">
              <w:rPr>
                <w:rFonts w:ascii="Trebuchet MS" w:hAnsi="Trebuchet MS"/>
                <w:bCs/>
                <w:sz w:val="20"/>
              </w:rPr>
              <w:t>řízen</w:t>
            </w:r>
            <w:r>
              <w:rPr>
                <w:rFonts w:ascii="Trebuchet MS" w:hAnsi="Trebuchet MS"/>
                <w:bCs/>
                <w:sz w:val="20"/>
              </w:rPr>
              <w:t>ím programu</w:t>
            </w:r>
            <w:r w:rsidR="00E23A0E">
              <w:rPr>
                <w:rFonts w:ascii="Trebuchet MS" w:hAnsi="Trebuchet MS"/>
                <w:bCs/>
                <w:sz w:val="20"/>
              </w:rPr>
              <w:t xml:space="preserve"> CENTRAL EUROPE. Referenčním územím je celá oblast programu CENTRAL EUROPE, jak je definováno v </w:t>
            </w:r>
            <w:r w:rsidR="00BE6C98">
              <w:rPr>
                <w:rFonts w:ascii="Trebuchet MS" w:hAnsi="Trebuchet MS"/>
                <w:bCs/>
                <w:sz w:val="20"/>
              </w:rPr>
              <w:t>p</w:t>
            </w:r>
            <w:r w:rsidR="00E23A0E">
              <w:rPr>
                <w:rFonts w:ascii="Trebuchet MS" w:hAnsi="Trebuchet MS"/>
                <w:bCs/>
                <w:sz w:val="20"/>
              </w:rPr>
              <w:t>říloze č. 3.</w:t>
            </w:r>
          </w:p>
          <w:p w:rsidR="00E23A0E" w:rsidRDefault="00E23A0E" w:rsidP="00727829">
            <w:pPr>
              <w:spacing w:before="120" w:after="120" w:line="240" w:lineRule="auto"/>
              <w:jc w:val="both"/>
              <w:rPr>
                <w:rFonts w:ascii="Trebuchet MS" w:hAnsi="Trebuchet MS"/>
                <w:bCs/>
                <w:sz w:val="20"/>
              </w:rPr>
            </w:pPr>
            <w:r>
              <w:rPr>
                <w:rFonts w:ascii="Trebuchet MS" w:hAnsi="Trebuchet MS"/>
                <w:bCs/>
                <w:sz w:val="20"/>
              </w:rPr>
              <w:t xml:space="preserve">Příjemci jsou veřejné </w:t>
            </w:r>
            <w:r w:rsidR="005F5DAA">
              <w:rPr>
                <w:rFonts w:ascii="Trebuchet MS" w:hAnsi="Trebuchet MS"/>
                <w:bCs/>
                <w:sz w:val="20"/>
              </w:rPr>
              <w:t>či</w:t>
            </w:r>
            <w:r>
              <w:rPr>
                <w:rFonts w:ascii="Trebuchet MS" w:hAnsi="Trebuchet MS"/>
                <w:bCs/>
                <w:sz w:val="20"/>
              </w:rPr>
              <w:t xml:space="preserve"> soukromé</w:t>
            </w:r>
            <w:r w:rsidR="005F5DAA">
              <w:rPr>
                <w:rFonts w:ascii="Trebuchet MS" w:hAnsi="Trebuchet MS"/>
                <w:bCs/>
                <w:sz w:val="20"/>
              </w:rPr>
              <w:t xml:space="preserve"> instituce, které jsou odpovědné za iniciování </w:t>
            </w:r>
            <w:r w:rsidR="005452F2">
              <w:rPr>
                <w:rFonts w:ascii="Trebuchet MS" w:hAnsi="Trebuchet MS"/>
                <w:bCs/>
                <w:sz w:val="20"/>
              </w:rPr>
              <w:t>a</w:t>
            </w:r>
            <w:r w:rsidR="005F5DAA">
              <w:rPr>
                <w:rFonts w:ascii="Trebuchet MS" w:hAnsi="Trebuchet MS"/>
                <w:bCs/>
                <w:sz w:val="20"/>
              </w:rPr>
              <w:t xml:space="preserve"> implementaci </w:t>
            </w:r>
            <w:r w:rsidR="00CA10A0">
              <w:rPr>
                <w:rFonts w:ascii="Trebuchet MS" w:hAnsi="Trebuchet MS"/>
                <w:bCs/>
                <w:sz w:val="20"/>
              </w:rPr>
              <w:t>operací</w:t>
            </w:r>
            <w:r w:rsidR="005F5DAA">
              <w:rPr>
                <w:rFonts w:ascii="Trebuchet MS" w:hAnsi="Trebuchet MS"/>
                <w:bCs/>
                <w:sz w:val="20"/>
              </w:rPr>
              <w:t xml:space="preserve"> a které využívají finance programu.</w:t>
            </w:r>
          </w:p>
          <w:p w:rsidR="005F5DAA" w:rsidRPr="00727829" w:rsidRDefault="005F5DAA" w:rsidP="007A3937">
            <w:pPr>
              <w:spacing w:before="120" w:after="120" w:line="240" w:lineRule="auto"/>
              <w:jc w:val="both"/>
              <w:rPr>
                <w:rFonts w:ascii="Trebuchet MS" w:hAnsi="Trebuchet MS"/>
                <w:bCs/>
                <w:sz w:val="20"/>
              </w:rPr>
            </w:pPr>
            <w:r>
              <w:rPr>
                <w:rFonts w:ascii="Trebuchet MS" w:hAnsi="Trebuchet MS"/>
                <w:bCs/>
                <w:sz w:val="20"/>
              </w:rPr>
              <w:t>Spokojenost je spojená s</w:t>
            </w:r>
            <w:r w:rsidR="007A3937">
              <w:rPr>
                <w:rFonts w:ascii="Trebuchet MS" w:hAnsi="Trebuchet MS"/>
                <w:bCs/>
                <w:sz w:val="20"/>
              </w:rPr>
              <w:t> </w:t>
            </w:r>
            <w:r>
              <w:rPr>
                <w:rFonts w:ascii="Trebuchet MS" w:hAnsi="Trebuchet MS"/>
                <w:bCs/>
                <w:sz w:val="20"/>
              </w:rPr>
              <w:t>podporou</w:t>
            </w:r>
            <w:r w:rsidR="007A3937">
              <w:rPr>
                <w:rFonts w:ascii="Trebuchet MS" w:hAnsi="Trebuchet MS"/>
                <w:bCs/>
                <w:sz w:val="20"/>
              </w:rPr>
              <w:t xml:space="preserve"> poskytovanou programem </w:t>
            </w:r>
            <w:r>
              <w:rPr>
                <w:rFonts w:ascii="Trebuchet MS" w:hAnsi="Trebuchet MS"/>
                <w:bCs/>
                <w:sz w:val="20"/>
              </w:rPr>
              <w:t>příjemců</w:t>
            </w:r>
            <w:r w:rsidR="007A3937">
              <w:rPr>
                <w:rFonts w:ascii="Trebuchet MS" w:hAnsi="Trebuchet MS"/>
                <w:bCs/>
                <w:sz w:val="20"/>
              </w:rPr>
              <w:t xml:space="preserve">m (tj. </w:t>
            </w:r>
            <w:proofErr w:type="spellStart"/>
            <w:r w:rsidR="007A3937" w:rsidRPr="007A3937">
              <w:rPr>
                <w:rFonts w:ascii="Trebuchet MS" w:hAnsi="Trebuchet MS"/>
                <w:bCs/>
                <w:sz w:val="20"/>
              </w:rPr>
              <w:t>ŘO</w:t>
            </w:r>
            <w:proofErr w:type="spellEnd"/>
            <w:r w:rsidR="007A3937" w:rsidRPr="007A3937">
              <w:rPr>
                <w:rFonts w:ascii="Trebuchet MS" w:hAnsi="Trebuchet MS"/>
                <w:bCs/>
                <w:sz w:val="20"/>
              </w:rPr>
              <w:t>/</w:t>
            </w:r>
            <w:proofErr w:type="spellStart"/>
            <w:r w:rsidR="007A3937" w:rsidRPr="007A3937">
              <w:rPr>
                <w:rFonts w:ascii="Trebuchet MS" w:hAnsi="Trebuchet MS"/>
                <w:bCs/>
                <w:sz w:val="20"/>
              </w:rPr>
              <w:t>SS</w:t>
            </w:r>
            <w:proofErr w:type="spellEnd"/>
            <w:r w:rsidR="007A3937" w:rsidRPr="007A3937">
              <w:rPr>
                <w:rFonts w:ascii="Trebuchet MS" w:hAnsi="Trebuchet MS"/>
                <w:bCs/>
                <w:sz w:val="20"/>
              </w:rPr>
              <w:t>/kontaktní místo</w:t>
            </w:r>
            <w:r w:rsidR="007A3937">
              <w:rPr>
                <w:rFonts w:ascii="Trebuchet MS" w:hAnsi="Trebuchet MS"/>
                <w:bCs/>
                <w:sz w:val="20"/>
              </w:rPr>
              <w:t>),</w:t>
            </w:r>
            <w:r>
              <w:rPr>
                <w:rFonts w:ascii="Trebuchet MS" w:hAnsi="Trebuchet MS"/>
                <w:bCs/>
                <w:sz w:val="20"/>
              </w:rPr>
              <w:t xml:space="preserve"> </w:t>
            </w:r>
            <w:r w:rsidR="007A3937">
              <w:rPr>
                <w:rFonts w:ascii="Trebuchet MS" w:hAnsi="Trebuchet MS"/>
                <w:bCs/>
                <w:sz w:val="20"/>
              </w:rPr>
              <w:t xml:space="preserve">která </w:t>
            </w:r>
            <w:r>
              <w:rPr>
                <w:rFonts w:ascii="Trebuchet MS" w:hAnsi="Trebuchet MS"/>
                <w:bCs/>
                <w:sz w:val="20"/>
              </w:rPr>
              <w:t>souvis</w:t>
            </w:r>
            <w:r w:rsidR="007A3937">
              <w:rPr>
                <w:rFonts w:ascii="Trebuchet MS" w:hAnsi="Trebuchet MS"/>
                <w:bCs/>
                <w:sz w:val="20"/>
              </w:rPr>
              <w:t>í</w:t>
            </w:r>
            <w:r>
              <w:rPr>
                <w:rFonts w:ascii="Trebuchet MS" w:hAnsi="Trebuchet MS"/>
                <w:bCs/>
                <w:sz w:val="20"/>
              </w:rPr>
              <w:t xml:space="preserve"> s obsahovými a administrativními otázkami implementace projektu, efektivní komunikací programu s příjemci i sníženou administrativní zátěží a zkrácenými časovými rámci pro úhradu výdajů příjemcům.</w:t>
            </w:r>
          </w:p>
        </w:tc>
        <w:tc>
          <w:tcPr>
            <w:tcW w:w="2471" w:type="dxa"/>
            <w:tcBorders>
              <w:right w:val="single" w:sz="8" w:space="0" w:color="4F81BD"/>
            </w:tcBorders>
          </w:tcPr>
          <w:p w:rsidR="001904B0" w:rsidRDefault="005F5DAA" w:rsidP="00727829">
            <w:pPr>
              <w:pStyle w:val="Text1"/>
              <w:numPr>
                <w:ilvl w:val="0"/>
                <w:numId w:val="5"/>
              </w:numPr>
              <w:spacing w:after="0"/>
              <w:ind w:left="317" w:hanging="284"/>
              <w:jc w:val="left"/>
              <w:rPr>
                <w:rFonts w:ascii="Trebuchet MS" w:hAnsi="Trebuchet MS"/>
                <w:bCs/>
                <w:sz w:val="20"/>
              </w:rPr>
            </w:pPr>
            <w:r>
              <w:rPr>
                <w:rFonts w:ascii="Trebuchet MS" w:hAnsi="Trebuchet MS"/>
                <w:bCs/>
                <w:sz w:val="20"/>
              </w:rPr>
              <w:t xml:space="preserve">Míra spokojenosti s informacemi a podporou poskytovanou </w:t>
            </w:r>
            <w:proofErr w:type="spellStart"/>
            <w:r w:rsidR="007A3937">
              <w:rPr>
                <w:rFonts w:ascii="Trebuchet MS" w:hAnsi="Trebuchet MS"/>
                <w:bCs/>
                <w:sz w:val="20"/>
              </w:rPr>
              <w:t>ŘO</w:t>
            </w:r>
            <w:proofErr w:type="spellEnd"/>
            <w:r w:rsidR="007A3937">
              <w:rPr>
                <w:rFonts w:ascii="Trebuchet MS" w:hAnsi="Trebuchet MS"/>
                <w:bCs/>
                <w:sz w:val="20"/>
              </w:rPr>
              <w:t>/S</w:t>
            </w:r>
            <w:r w:rsidRPr="007A3937">
              <w:rPr>
                <w:rFonts w:ascii="Trebuchet MS" w:hAnsi="Trebuchet MS"/>
                <w:bCs/>
                <w:sz w:val="20"/>
              </w:rPr>
              <w:t>S</w:t>
            </w:r>
            <w:r>
              <w:rPr>
                <w:rFonts w:ascii="Trebuchet MS" w:hAnsi="Trebuchet MS"/>
                <w:bCs/>
                <w:sz w:val="20"/>
              </w:rPr>
              <w:t xml:space="preserve"> u obsahových a administrativních </w:t>
            </w:r>
            <w:r w:rsidR="003A0768">
              <w:rPr>
                <w:rFonts w:ascii="Trebuchet MS" w:hAnsi="Trebuchet MS"/>
                <w:bCs/>
                <w:sz w:val="20"/>
              </w:rPr>
              <w:t xml:space="preserve">témat </w:t>
            </w:r>
            <w:r>
              <w:rPr>
                <w:rFonts w:ascii="Trebuchet MS" w:hAnsi="Trebuchet MS"/>
                <w:bCs/>
                <w:sz w:val="20"/>
              </w:rPr>
              <w:t>týkajících se implementace projektu</w:t>
            </w:r>
          </w:p>
          <w:p w:rsidR="006659D6" w:rsidRDefault="006659D6" w:rsidP="006659D6">
            <w:pPr>
              <w:pStyle w:val="Text1"/>
              <w:spacing w:after="0"/>
              <w:ind w:left="317"/>
              <w:jc w:val="left"/>
              <w:rPr>
                <w:rFonts w:ascii="Trebuchet MS" w:hAnsi="Trebuchet MS"/>
                <w:bCs/>
                <w:sz w:val="20"/>
              </w:rPr>
            </w:pPr>
          </w:p>
          <w:p w:rsidR="005F5DAA" w:rsidRDefault="005F5DAA" w:rsidP="007A3937">
            <w:pPr>
              <w:pStyle w:val="Text1"/>
              <w:numPr>
                <w:ilvl w:val="0"/>
                <w:numId w:val="5"/>
              </w:numPr>
              <w:spacing w:after="0"/>
              <w:ind w:left="317" w:hanging="284"/>
              <w:jc w:val="left"/>
              <w:rPr>
                <w:rFonts w:ascii="Trebuchet MS" w:hAnsi="Trebuchet MS"/>
                <w:bCs/>
                <w:sz w:val="20"/>
              </w:rPr>
            </w:pPr>
            <w:r>
              <w:rPr>
                <w:rFonts w:ascii="Trebuchet MS" w:hAnsi="Trebuchet MS"/>
                <w:bCs/>
                <w:sz w:val="20"/>
              </w:rPr>
              <w:t xml:space="preserve">Míra spokojenosti s informacemi a podporou poskytovanou síti </w:t>
            </w:r>
            <w:r w:rsidR="007A3937">
              <w:rPr>
                <w:rFonts w:ascii="Trebuchet MS" w:hAnsi="Trebuchet MS"/>
                <w:bCs/>
                <w:sz w:val="20"/>
              </w:rPr>
              <w:t>kontaktních míst</w:t>
            </w:r>
            <w:r>
              <w:rPr>
                <w:rFonts w:ascii="Trebuchet MS" w:hAnsi="Trebuchet MS"/>
                <w:bCs/>
                <w:sz w:val="20"/>
              </w:rPr>
              <w:t xml:space="preserve"> při implementaci projektu</w:t>
            </w:r>
          </w:p>
          <w:p w:rsidR="003A0768" w:rsidRPr="00727829" w:rsidRDefault="003A0768" w:rsidP="007A3937">
            <w:pPr>
              <w:pStyle w:val="Text1"/>
              <w:numPr>
                <w:ilvl w:val="0"/>
                <w:numId w:val="5"/>
              </w:numPr>
              <w:spacing w:after="0"/>
              <w:ind w:left="317" w:hanging="284"/>
              <w:jc w:val="left"/>
              <w:rPr>
                <w:rFonts w:ascii="Trebuchet MS" w:hAnsi="Trebuchet MS"/>
                <w:bCs/>
                <w:sz w:val="20"/>
              </w:rPr>
            </w:pPr>
            <w:r>
              <w:rPr>
                <w:rFonts w:ascii="Trebuchet MS" w:hAnsi="Trebuchet MS"/>
                <w:bCs/>
                <w:sz w:val="20"/>
              </w:rPr>
              <w:t xml:space="preserve">Míra spokojenosti s informovaností prostřednictvím nadnárodních komunikačních akcí </w:t>
            </w:r>
            <w:r>
              <w:rPr>
                <w:rFonts w:ascii="Trebuchet MS" w:hAnsi="Trebuchet MS"/>
                <w:bCs/>
                <w:sz w:val="20"/>
              </w:rPr>
              <w:lastRenderedPageBreak/>
              <w:t>mezi relevantními partnery ohledně plnění projektů</w:t>
            </w:r>
          </w:p>
        </w:tc>
      </w:tr>
      <w:tr w:rsidR="005F5DAA" w:rsidRPr="00727829" w:rsidTr="003D37D5">
        <w:tc>
          <w:tcPr>
            <w:tcW w:w="2236" w:type="dxa"/>
            <w:tcBorders>
              <w:left w:val="single" w:sz="8" w:space="0" w:color="4F81BD"/>
            </w:tcBorders>
          </w:tcPr>
          <w:p w:rsidR="005F5DAA" w:rsidRDefault="005F5DAA" w:rsidP="00727829">
            <w:pPr>
              <w:pStyle w:val="Text1"/>
              <w:spacing w:after="0"/>
              <w:ind w:left="360" w:hanging="360"/>
              <w:jc w:val="left"/>
              <w:rPr>
                <w:rFonts w:ascii="Trebuchet MS" w:hAnsi="Trebuchet MS"/>
                <w:b/>
                <w:bCs/>
                <w:sz w:val="20"/>
              </w:rPr>
            </w:pPr>
            <w:r>
              <w:rPr>
                <w:rFonts w:ascii="Trebuchet MS" w:hAnsi="Trebuchet MS"/>
                <w:b/>
                <w:bCs/>
                <w:sz w:val="20"/>
              </w:rPr>
              <w:lastRenderedPageBreak/>
              <w:t>5.2.1 Stav kapacit žadatelů pro účast v programu</w:t>
            </w:r>
          </w:p>
        </w:tc>
        <w:tc>
          <w:tcPr>
            <w:tcW w:w="4535" w:type="dxa"/>
            <w:tcBorders>
              <w:left w:val="single" w:sz="8" w:space="0" w:color="4F81BD"/>
              <w:right w:val="single" w:sz="8" w:space="0" w:color="4F81BD"/>
            </w:tcBorders>
          </w:tcPr>
          <w:p w:rsidR="005F5DAA" w:rsidRDefault="005F5DAA" w:rsidP="00727829">
            <w:pPr>
              <w:spacing w:before="120" w:after="120" w:line="240" w:lineRule="auto"/>
              <w:jc w:val="both"/>
              <w:rPr>
                <w:rFonts w:ascii="Trebuchet MS" w:hAnsi="Trebuchet MS"/>
                <w:sz w:val="20"/>
              </w:rPr>
            </w:pPr>
            <w:r>
              <w:rPr>
                <w:rFonts w:ascii="Trebuchet MS" w:hAnsi="Trebuchet MS"/>
                <w:bCs/>
                <w:sz w:val="20"/>
              </w:rPr>
              <w:t xml:space="preserve">Tento ukazatel měří kapacitu žadatelů účastnit se programu CENTRAL EUROPE. </w:t>
            </w:r>
            <w:r w:rsidRPr="00727829">
              <w:rPr>
                <w:rFonts w:ascii="Trebuchet MS" w:hAnsi="Trebuchet MS"/>
                <w:sz w:val="20"/>
              </w:rPr>
              <w:t>Referenčním územím je celá oblast programu CENTRAL EUROPE, jak je definováno v příloze č. 3</w:t>
            </w:r>
            <w:r>
              <w:rPr>
                <w:rFonts w:ascii="Trebuchet MS" w:hAnsi="Trebuchet MS"/>
                <w:sz w:val="20"/>
              </w:rPr>
              <w:t>.</w:t>
            </w:r>
          </w:p>
          <w:p w:rsidR="005F5DAA" w:rsidRDefault="005F5DAA" w:rsidP="00727829">
            <w:pPr>
              <w:spacing w:before="120" w:after="120" w:line="240" w:lineRule="auto"/>
              <w:jc w:val="both"/>
              <w:rPr>
                <w:rFonts w:ascii="Trebuchet MS" w:hAnsi="Trebuchet MS"/>
                <w:sz w:val="20"/>
              </w:rPr>
            </w:pPr>
            <w:r>
              <w:rPr>
                <w:rFonts w:ascii="Trebuchet MS" w:hAnsi="Trebuchet MS"/>
                <w:sz w:val="20"/>
              </w:rPr>
              <w:t>Žadatelé jsou veřejné či soukromé instituce, které žádají o financování v reakci na výzvy</w:t>
            </w:r>
            <w:r w:rsidR="00500BA3">
              <w:rPr>
                <w:rFonts w:ascii="Trebuchet MS" w:hAnsi="Trebuchet MS"/>
                <w:sz w:val="20"/>
              </w:rPr>
              <w:t xml:space="preserve"> k předkládání návrhů zveřejněné programem.</w:t>
            </w:r>
          </w:p>
          <w:p w:rsidR="00500BA3" w:rsidRDefault="00500BA3" w:rsidP="00500BA3">
            <w:pPr>
              <w:spacing w:before="120" w:after="120" w:line="240" w:lineRule="auto"/>
              <w:jc w:val="both"/>
              <w:rPr>
                <w:rFonts w:ascii="Trebuchet MS" w:hAnsi="Trebuchet MS"/>
                <w:sz w:val="20"/>
              </w:rPr>
            </w:pPr>
            <w:r>
              <w:rPr>
                <w:rFonts w:ascii="Trebuchet MS" w:hAnsi="Trebuchet MS"/>
                <w:sz w:val="20"/>
              </w:rPr>
              <w:t>Kapacitami žadatelů se rozumí informovanost a znalosti o možnostech financování v rámci programu CENTRAL EUROPE.</w:t>
            </w:r>
          </w:p>
          <w:p w:rsidR="00500BA3" w:rsidRDefault="00500BA3" w:rsidP="0075140A">
            <w:pPr>
              <w:spacing w:before="120" w:after="120" w:line="240" w:lineRule="auto"/>
              <w:jc w:val="both"/>
              <w:rPr>
                <w:rFonts w:ascii="Trebuchet MS" w:hAnsi="Trebuchet MS"/>
                <w:bCs/>
                <w:sz w:val="20"/>
              </w:rPr>
            </w:pPr>
            <w:r>
              <w:rPr>
                <w:rFonts w:ascii="Trebuchet MS" w:hAnsi="Trebuchet MS"/>
                <w:sz w:val="20"/>
              </w:rPr>
              <w:t xml:space="preserve">Účastí žadatelů se rozumí jejich zapojení </w:t>
            </w:r>
            <w:r w:rsidR="0075140A">
              <w:rPr>
                <w:rFonts w:ascii="Trebuchet MS" w:hAnsi="Trebuchet MS"/>
                <w:sz w:val="20"/>
              </w:rPr>
              <w:t>do</w:t>
            </w:r>
            <w:r>
              <w:rPr>
                <w:rFonts w:ascii="Trebuchet MS" w:hAnsi="Trebuchet MS"/>
                <w:sz w:val="20"/>
              </w:rPr>
              <w:t xml:space="preserve"> rozvoje myšlenky projektu ve spolupráci s ostatními žadateli a při podání kvalitní žádosti v reakci na výzvu k předkládání návrhů.</w:t>
            </w:r>
          </w:p>
        </w:tc>
        <w:tc>
          <w:tcPr>
            <w:tcW w:w="2471" w:type="dxa"/>
            <w:tcBorders>
              <w:right w:val="single" w:sz="8" w:space="0" w:color="4F81BD"/>
            </w:tcBorders>
          </w:tcPr>
          <w:p w:rsidR="005F5DAA" w:rsidRDefault="00500BA3" w:rsidP="00727829">
            <w:pPr>
              <w:pStyle w:val="Text1"/>
              <w:numPr>
                <w:ilvl w:val="0"/>
                <w:numId w:val="5"/>
              </w:numPr>
              <w:spacing w:after="0"/>
              <w:ind w:left="317" w:hanging="284"/>
              <w:jc w:val="left"/>
              <w:rPr>
                <w:rFonts w:ascii="Trebuchet MS" w:hAnsi="Trebuchet MS"/>
                <w:bCs/>
                <w:sz w:val="20"/>
              </w:rPr>
            </w:pPr>
            <w:r>
              <w:rPr>
                <w:rFonts w:ascii="Trebuchet MS" w:hAnsi="Trebuchet MS"/>
                <w:bCs/>
                <w:sz w:val="20"/>
              </w:rPr>
              <w:t xml:space="preserve">Míra informovanosti </w:t>
            </w:r>
            <w:r w:rsidR="003A0768">
              <w:rPr>
                <w:rFonts w:ascii="Trebuchet MS" w:hAnsi="Trebuchet MS"/>
                <w:bCs/>
                <w:sz w:val="20"/>
              </w:rPr>
              <w:t>relevantních partnerů (včetně potenciálních</w:t>
            </w:r>
            <w:r>
              <w:rPr>
                <w:rFonts w:ascii="Trebuchet MS" w:hAnsi="Trebuchet MS"/>
                <w:bCs/>
                <w:sz w:val="20"/>
              </w:rPr>
              <w:t xml:space="preserve"> žadatelů</w:t>
            </w:r>
            <w:r w:rsidR="003A0768">
              <w:rPr>
                <w:rFonts w:ascii="Trebuchet MS" w:hAnsi="Trebuchet MS"/>
                <w:bCs/>
                <w:sz w:val="20"/>
              </w:rPr>
              <w:t>)</w:t>
            </w:r>
            <w:r>
              <w:rPr>
                <w:rFonts w:ascii="Trebuchet MS" w:hAnsi="Trebuchet MS"/>
                <w:bCs/>
                <w:sz w:val="20"/>
              </w:rPr>
              <w:t xml:space="preserve"> o možnostech financování </w:t>
            </w:r>
            <w:r w:rsidR="00CA10A0">
              <w:rPr>
                <w:rFonts w:ascii="Trebuchet MS" w:hAnsi="Trebuchet MS"/>
                <w:bCs/>
                <w:sz w:val="20"/>
              </w:rPr>
              <w:t>z </w:t>
            </w:r>
            <w:r>
              <w:rPr>
                <w:rFonts w:ascii="Trebuchet MS" w:hAnsi="Trebuchet MS"/>
                <w:bCs/>
                <w:sz w:val="20"/>
              </w:rPr>
              <w:t xml:space="preserve">programu CENTRAL EUROPE </w:t>
            </w:r>
            <w:r w:rsidR="008A3D1F">
              <w:rPr>
                <w:rFonts w:ascii="Trebuchet MS" w:hAnsi="Trebuchet MS"/>
                <w:bCs/>
                <w:sz w:val="20"/>
              </w:rPr>
              <w:t>v souvislosti s podporou</w:t>
            </w:r>
            <w:r>
              <w:rPr>
                <w:rFonts w:ascii="Trebuchet MS" w:hAnsi="Trebuchet MS"/>
                <w:bCs/>
                <w:sz w:val="20"/>
              </w:rPr>
              <w:t>, kterou program nabízí (</w:t>
            </w:r>
            <w:proofErr w:type="spellStart"/>
            <w:r w:rsidR="0075140A">
              <w:rPr>
                <w:rFonts w:ascii="Trebuchet MS" w:hAnsi="Trebuchet MS"/>
                <w:bCs/>
                <w:sz w:val="20"/>
              </w:rPr>
              <w:t>ŘO</w:t>
            </w:r>
            <w:proofErr w:type="spellEnd"/>
            <w:r w:rsidR="0075140A">
              <w:rPr>
                <w:rFonts w:ascii="Trebuchet MS" w:hAnsi="Trebuchet MS"/>
                <w:bCs/>
                <w:sz w:val="20"/>
              </w:rPr>
              <w:t>/</w:t>
            </w:r>
            <w:proofErr w:type="spellStart"/>
            <w:r w:rsidR="0075140A">
              <w:rPr>
                <w:rFonts w:ascii="Trebuchet MS" w:hAnsi="Trebuchet MS"/>
                <w:bCs/>
                <w:sz w:val="20"/>
              </w:rPr>
              <w:t>S</w:t>
            </w:r>
            <w:r>
              <w:rPr>
                <w:rFonts w:ascii="Trebuchet MS" w:hAnsi="Trebuchet MS"/>
                <w:bCs/>
                <w:sz w:val="20"/>
              </w:rPr>
              <w:t>S</w:t>
            </w:r>
            <w:proofErr w:type="spellEnd"/>
            <w:r>
              <w:rPr>
                <w:rFonts w:ascii="Trebuchet MS" w:hAnsi="Trebuchet MS"/>
                <w:bCs/>
                <w:sz w:val="20"/>
              </w:rPr>
              <w:t>/</w:t>
            </w:r>
            <w:r w:rsidR="003A0768">
              <w:rPr>
                <w:rFonts w:ascii="Trebuchet MS" w:hAnsi="Trebuchet MS"/>
                <w:bCs/>
                <w:sz w:val="20"/>
              </w:rPr>
              <w:t xml:space="preserve">síť </w:t>
            </w:r>
            <w:r w:rsidR="0075140A">
              <w:rPr>
                <w:rFonts w:ascii="Trebuchet MS" w:hAnsi="Trebuchet MS"/>
                <w:bCs/>
                <w:sz w:val="20"/>
              </w:rPr>
              <w:t>kontaktní</w:t>
            </w:r>
            <w:r w:rsidR="003A0768">
              <w:rPr>
                <w:rFonts w:ascii="Trebuchet MS" w:hAnsi="Trebuchet MS"/>
                <w:bCs/>
                <w:sz w:val="20"/>
              </w:rPr>
              <w:t>ch</w:t>
            </w:r>
            <w:r w:rsidR="0075140A">
              <w:rPr>
                <w:rFonts w:ascii="Trebuchet MS" w:hAnsi="Trebuchet MS"/>
                <w:bCs/>
                <w:sz w:val="20"/>
              </w:rPr>
              <w:t xml:space="preserve"> míst</w:t>
            </w:r>
            <w:r>
              <w:rPr>
                <w:rFonts w:ascii="Trebuchet MS" w:hAnsi="Trebuchet MS"/>
                <w:bCs/>
                <w:sz w:val="20"/>
              </w:rPr>
              <w:t>)</w:t>
            </w:r>
          </w:p>
          <w:p w:rsidR="0075140A" w:rsidRDefault="0075140A" w:rsidP="0075140A">
            <w:pPr>
              <w:pStyle w:val="Text1"/>
              <w:spacing w:after="0"/>
              <w:ind w:left="317"/>
              <w:jc w:val="left"/>
              <w:rPr>
                <w:rFonts w:ascii="Trebuchet MS" w:hAnsi="Trebuchet MS"/>
                <w:bCs/>
                <w:sz w:val="20"/>
              </w:rPr>
            </w:pPr>
          </w:p>
          <w:p w:rsidR="00500BA3" w:rsidRDefault="00500BA3" w:rsidP="003A0768">
            <w:pPr>
              <w:pStyle w:val="Text1"/>
              <w:numPr>
                <w:ilvl w:val="0"/>
                <w:numId w:val="5"/>
              </w:numPr>
              <w:spacing w:after="0"/>
              <w:ind w:left="317" w:hanging="284"/>
              <w:jc w:val="left"/>
              <w:rPr>
                <w:rFonts w:ascii="Trebuchet MS" w:hAnsi="Trebuchet MS"/>
                <w:bCs/>
                <w:sz w:val="20"/>
              </w:rPr>
            </w:pPr>
            <w:r>
              <w:rPr>
                <w:rFonts w:ascii="Trebuchet MS" w:hAnsi="Trebuchet MS"/>
                <w:bCs/>
                <w:sz w:val="20"/>
              </w:rPr>
              <w:t xml:space="preserve">Míra znalostí </w:t>
            </w:r>
            <w:r w:rsidR="0075140A">
              <w:rPr>
                <w:rFonts w:ascii="Trebuchet MS" w:hAnsi="Trebuchet MS"/>
                <w:bCs/>
                <w:sz w:val="20"/>
              </w:rPr>
              <w:t xml:space="preserve">hlavních </w:t>
            </w:r>
            <w:r>
              <w:rPr>
                <w:rFonts w:ascii="Trebuchet MS" w:hAnsi="Trebuchet MS"/>
                <w:bCs/>
                <w:sz w:val="20"/>
              </w:rPr>
              <w:t>žadatelů</w:t>
            </w:r>
            <w:r w:rsidR="003D37D5">
              <w:rPr>
                <w:rFonts w:ascii="Trebuchet MS" w:hAnsi="Trebuchet MS"/>
                <w:bCs/>
                <w:sz w:val="20"/>
              </w:rPr>
              <w:t xml:space="preserve"> o postupech podávání žádosti </w:t>
            </w:r>
            <w:r w:rsidR="008A3D1F">
              <w:rPr>
                <w:rFonts w:ascii="Trebuchet MS" w:hAnsi="Trebuchet MS"/>
                <w:bCs/>
                <w:sz w:val="20"/>
              </w:rPr>
              <w:t>v souvislosti s podporou</w:t>
            </w:r>
            <w:r w:rsidR="003D37D5">
              <w:rPr>
                <w:rFonts w:ascii="Trebuchet MS" w:hAnsi="Trebuchet MS"/>
                <w:bCs/>
                <w:sz w:val="20"/>
              </w:rPr>
              <w:t>, kterou program nabízí</w:t>
            </w:r>
          </w:p>
        </w:tc>
      </w:tr>
      <w:tr w:rsidR="003D37D5" w:rsidRPr="00727829" w:rsidTr="00727829">
        <w:tc>
          <w:tcPr>
            <w:tcW w:w="2236" w:type="dxa"/>
            <w:tcBorders>
              <w:left w:val="single" w:sz="8" w:space="0" w:color="4F81BD"/>
              <w:bottom w:val="single" w:sz="8" w:space="0" w:color="4F81BD"/>
            </w:tcBorders>
          </w:tcPr>
          <w:p w:rsidR="003D37D5" w:rsidRDefault="003D37D5" w:rsidP="00C2035D">
            <w:pPr>
              <w:pStyle w:val="Text1"/>
              <w:spacing w:after="0"/>
              <w:ind w:left="360" w:hanging="360"/>
              <w:jc w:val="left"/>
              <w:rPr>
                <w:rFonts w:ascii="Trebuchet MS" w:hAnsi="Trebuchet MS"/>
                <w:b/>
                <w:bCs/>
                <w:sz w:val="20"/>
              </w:rPr>
            </w:pPr>
            <w:r>
              <w:rPr>
                <w:rFonts w:ascii="Trebuchet MS" w:hAnsi="Trebuchet MS"/>
                <w:b/>
                <w:bCs/>
                <w:sz w:val="20"/>
              </w:rPr>
              <w:t>5.2.2</w:t>
            </w:r>
            <w:r w:rsidR="007913B7">
              <w:rPr>
                <w:rFonts w:ascii="Trebuchet MS" w:hAnsi="Trebuchet MS"/>
                <w:b/>
                <w:bCs/>
                <w:sz w:val="20"/>
              </w:rPr>
              <w:t xml:space="preserve"> Stav kapacit příjemců </w:t>
            </w:r>
            <w:r w:rsidR="00C2035D">
              <w:rPr>
                <w:rFonts w:ascii="Trebuchet MS" w:hAnsi="Trebuchet MS"/>
                <w:b/>
                <w:bCs/>
                <w:sz w:val="20"/>
              </w:rPr>
              <w:t>pro účast v programu</w:t>
            </w:r>
          </w:p>
        </w:tc>
        <w:tc>
          <w:tcPr>
            <w:tcW w:w="4535" w:type="dxa"/>
            <w:tcBorders>
              <w:left w:val="single" w:sz="8" w:space="0" w:color="4F81BD"/>
              <w:bottom w:val="single" w:sz="8" w:space="0" w:color="4F81BD"/>
              <w:right w:val="single" w:sz="8" w:space="0" w:color="4F81BD"/>
            </w:tcBorders>
          </w:tcPr>
          <w:p w:rsidR="003D37D5" w:rsidRDefault="00440D59" w:rsidP="00727829">
            <w:pPr>
              <w:spacing w:before="120" w:after="120" w:line="240" w:lineRule="auto"/>
              <w:jc w:val="both"/>
              <w:rPr>
                <w:rFonts w:ascii="Trebuchet MS" w:hAnsi="Trebuchet MS"/>
                <w:sz w:val="20"/>
              </w:rPr>
            </w:pPr>
            <w:r>
              <w:rPr>
                <w:rFonts w:ascii="Trebuchet MS" w:hAnsi="Trebuchet MS"/>
                <w:bCs/>
                <w:sz w:val="20"/>
              </w:rPr>
              <w:t xml:space="preserve">Tento ukazatel měří kapacitu příjemců účastnit se programu CENTRAL EUROPE. </w:t>
            </w:r>
            <w:r w:rsidRPr="00727829">
              <w:rPr>
                <w:rFonts w:ascii="Trebuchet MS" w:hAnsi="Trebuchet MS"/>
                <w:sz w:val="20"/>
              </w:rPr>
              <w:t>Referenčním územím je celá oblast programu CENTRAL EUROPE, jak je definováno v příloze č. 3</w:t>
            </w:r>
            <w:r>
              <w:rPr>
                <w:rFonts w:ascii="Trebuchet MS" w:hAnsi="Trebuchet MS"/>
                <w:sz w:val="20"/>
              </w:rPr>
              <w:t>.</w:t>
            </w:r>
          </w:p>
          <w:p w:rsidR="00440D59" w:rsidRDefault="00440D59" w:rsidP="00727829">
            <w:pPr>
              <w:spacing w:before="120" w:after="120" w:line="240" w:lineRule="auto"/>
              <w:jc w:val="both"/>
              <w:rPr>
                <w:rFonts w:ascii="Trebuchet MS" w:hAnsi="Trebuchet MS"/>
                <w:bCs/>
                <w:sz w:val="20"/>
              </w:rPr>
            </w:pPr>
            <w:r>
              <w:rPr>
                <w:rFonts w:ascii="Trebuchet MS" w:hAnsi="Trebuchet MS"/>
                <w:bCs/>
                <w:sz w:val="20"/>
              </w:rPr>
              <w:t xml:space="preserve">Příjemci jsou veřejné či soukromé instituce, které jsou odpovědné za iniciování </w:t>
            </w:r>
            <w:r w:rsidR="00CA10A0">
              <w:rPr>
                <w:rFonts w:ascii="Trebuchet MS" w:hAnsi="Trebuchet MS"/>
                <w:bCs/>
                <w:sz w:val="20"/>
              </w:rPr>
              <w:t xml:space="preserve">a </w:t>
            </w:r>
            <w:r>
              <w:rPr>
                <w:rFonts w:ascii="Trebuchet MS" w:hAnsi="Trebuchet MS"/>
                <w:bCs/>
                <w:sz w:val="20"/>
              </w:rPr>
              <w:t>implementaci</w:t>
            </w:r>
            <w:r w:rsidR="00CA10A0">
              <w:rPr>
                <w:rFonts w:ascii="Trebuchet MS" w:hAnsi="Trebuchet MS"/>
                <w:bCs/>
                <w:sz w:val="20"/>
              </w:rPr>
              <w:t xml:space="preserve"> operací</w:t>
            </w:r>
            <w:r>
              <w:rPr>
                <w:rFonts w:ascii="Trebuchet MS" w:hAnsi="Trebuchet MS"/>
                <w:bCs/>
                <w:sz w:val="20"/>
              </w:rPr>
              <w:t xml:space="preserve"> a které využívají finance programu.</w:t>
            </w:r>
          </w:p>
          <w:p w:rsidR="00F434CC" w:rsidRDefault="00440D59" w:rsidP="00FE3173">
            <w:pPr>
              <w:spacing w:before="120" w:after="120" w:line="240" w:lineRule="auto"/>
              <w:jc w:val="both"/>
              <w:rPr>
                <w:rFonts w:ascii="Trebuchet MS" w:hAnsi="Trebuchet MS"/>
                <w:bCs/>
                <w:sz w:val="20"/>
              </w:rPr>
            </w:pPr>
            <w:r>
              <w:rPr>
                <w:rFonts w:ascii="Trebuchet MS" w:hAnsi="Trebuchet MS"/>
                <w:bCs/>
                <w:sz w:val="20"/>
              </w:rPr>
              <w:t>Kapacitami příjemců se rozumí</w:t>
            </w:r>
            <w:r w:rsidR="00F434CC">
              <w:rPr>
                <w:rFonts w:ascii="Trebuchet MS" w:hAnsi="Trebuchet MS"/>
                <w:bCs/>
                <w:sz w:val="20"/>
              </w:rPr>
              <w:t> kompetence a dovednosti pro nastavování a včasn</w:t>
            </w:r>
            <w:r w:rsidR="008A3D1F">
              <w:rPr>
                <w:rFonts w:ascii="Trebuchet MS" w:hAnsi="Trebuchet MS"/>
                <w:bCs/>
                <w:sz w:val="20"/>
              </w:rPr>
              <w:t xml:space="preserve">ou implementaci </w:t>
            </w:r>
            <w:r w:rsidR="009F20E2">
              <w:rPr>
                <w:rFonts w:ascii="Trebuchet MS" w:hAnsi="Trebuchet MS"/>
                <w:bCs/>
                <w:sz w:val="20"/>
              </w:rPr>
              <w:t xml:space="preserve">akcí </w:t>
            </w:r>
            <w:r w:rsidR="00152329">
              <w:rPr>
                <w:rFonts w:ascii="Trebuchet MS" w:hAnsi="Trebuchet MS"/>
                <w:bCs/>
                <w:sz w:val="20"/>
              </w:rPr>
              <w:t>související s jejich znalostmi relevantních pravidel pro implementaci projektů (např. pravidla</w:t>
            </w:r>
            <w:r w:rsidR="007534D5">
              <w:rPr>
                <w:rFonts w:ascii="Trebuchet MS" w:hAnsi="Trebuchet MS"/>
                <w:bCs/>
                <w:sz w:val="20"/>
              </w:rPr>
              <w:t xml:space="preserve"> způsobilosti)</w:t>
            </w:r>
            <w:r w:rsidR="00F434CC">
              <w:rPr>
                <w:rFonts w:ascii="Trebuchet MS" w:hAnsi="Trebuchet MS"/>
                <w:bCs/>
                <w:sz w:val="20"/>
              </w:rPr>
              <w:t xml:space="preserve">. Řídící kapacity </w:t>
            </w:r>
            <w:r w:rsidR="008A3D1F">
              <w:rPr>
                <w:rFonts w:ascii="Trebuchet MS" w:hAnsi="Trebuchet MS"/>
                <w:bCs/>
                <w:sz w:val="20"/>
              </w:rPr>
              <w:t>hlavních</w:t>
            </w:r>
            <w:r w:rsidR="00F434CC">
              <w:rPr>
                <w:rFonts w:ascii="Trebuchet MS" w:hAnsi="Trebuchet MS"/>
                <w:bCs/>
                <w:sz w:val="20"/>
              </w:rPr>
              <w:t xml:space="preserve"> příjemců jsou rozhodující pro úspěch </w:t>
            </w:r>
            <w:r w:rsidR="00CA10A0">
              <w:rPr>
                <w:rFonts w:ascii="Trebuchet MS" w:hAnsi="Trebuchet MS"/>
                <w:bCs/>
                <w:sz w:val="20"/>
              </w:rPr>
              <w:t>operace</w:t>
            </w:r>
            <w:r w:rsidR="00F434CC">
              <w:rPr>
                <w:rFonts w:ascii="Trebuchet MS" w:hAnsi="Trebuchet MS"/>
                <w:bCs/>
                <w:sz w:val="20"/>
              </w:rPr>
              <w:t xml:space="preserve"> </w:t>
            </w:r>
            <w:r w:rsidR="00F434CC" w:rsidRPr="004703D9">
              <w:rPr>
                <w:rFonts w:ascii="Trebuchet MS" w:hAnsi="Trebuchet MS"/>
                <w:bCs/>
                <w:sz w:val="20"/>
              </w:rPr>
              <w:t>E</w:t>
            </w:r>
            <w:r w:rsidR="004703D9" w:rsidRPr="004703D9">
              <w:rPr>
                <w:rFonts w:ascii="Trebuchet MS" w:hAnsi="Trebuchet MS"/>
                <w:bCs/>
                <w:sz w:val="20"/>
              </w:rPr>
              <w:t>ÚS</w:t>
            </w:r>
            <w:r w:rsidR="00F434CC">
              <w:rPr>
                <w:rFonts w:ascii="Trebuchet MS" w:hAnsi="Trebuchet MS"/>
                <w:bCs/>
                <w:sz w:val="20"/>
              </w:rPr>
              <w:t>.</w:t>
            </w:r>
          </w:p>
          <w:p w:rsidR="00440D59" w:rsidRDefault="00440D59" w:rsidP="00CA10A0">
            <w:pPr>
              <w:spacing w:before="120" w:after="120" w:line="240" w:lineRule="auto"/>
              <w:jc w:val="both"/>
              <w:rPr>
                <w:rFonts w:ascii="Trebuchet MS" w:hAnsi="Trebuchet MS"/>
                <w:bCs/>
                <w:sz w:val="20"/>
              </w:rPr>
            </w:pPr>
          </w:p>
        </w:tc>
        <w:tc>
          <w:tcPr>
            <w:tcW w:w="2471" w:type="dxa"/>
            <w:tcBorders>
              <w:bottom w:val="single" w:sz="8" w:space="0" w:color="4F81BD"/>
              <w:right w:val="single" w:sz="8" w:space="0" w:color="4F81BD"/>
            </w:tcBorders>
          </w:tcPr>
          <w:p w:rsidR="00F434CC" w:rsidRDefault="00F434CC" w:rsidP="00F434CC">
            <w:pPr>
              <w:pStyle w:val="Text1"/>
              <w:numPr>
                <w:ilvl w:val="0"/>
                <w:numId w:val="5"/>
              </w:numPr>
              <w:spacing w:after="0"/>
              <w:ind w:left="317" w:hanging="284"/>
              <w:jc w:val="left"/>
              <w:rPr>
                <w:rFonts w:ascii="Trebuchet MS" w:hAnsi="Trebuchet MS"/>
                <w:bCs/>
                <w:sz w:val="20"/>
              </w:rPr>
            </w:pPr>
            <w:r>
              <w:rPr>
                <w:rFonts w:ascii="Trebuchet MS" w:hAnsi="Trebuchet MS"/>
                <w:bCs/>
                <w:sz w:val="20"/>
              </w:rPr>
              <w:t xml:space="preserve">Míra znalostí příjemců o požadavcích </w:t>
            </w:r>
            <w:r w:rsidR="008A3D1F">
              <w:rPr>
                <w:rFonts w:ascii="Trebuchet MS" w:hAnsi="Trebuchet MS"/>
                <w:bCs/>
                <w:sz w:val="20"/>
              </w:rPr>
              <w:t xml:space="preserve">programu </w:t>
            </w:r>
            <w:r>
              <w:rPr>
                <w:rFonts w:ascii="Trebuchet MS" w:hAnsi="Trebuchet MS"/>
                <w:bCs/>
                <w:sz w:val="20"/>
              </w:rPr>
              <w:t>CENTRAL EUROPE</w:t>
            </w:r>
            <w:r w:rsidR="008A3D1F">
              <w:rPr>
                <w:rFonts w:ascii="Trebuchet MS" w:hAnsi="Trebuchet MS"/>
                <w:bCs/>
                <w:sz w:val="20"/>
              </w:rPr>
              <w:t xml:space="preserve"> na implementaci a </w:t>
            </w:r>
            <w:r w:rsidR="004703D9">
              <w:rPr>
                <w:rFonts w:ascii="Trebuchet MS" w:hAnsi="Trebuchet MS"/>
                <w:bCs/>
                <w:sz w:val="20"/>
              </w:rPr>
              <w:t>předkládání zpráv</w:t>
            </w:r>
            <w:r w:rsidR="008A3D1F">
              <w:rPr>
                <w:rFonts w:ascii="Trebuchet MS" w:hAnsi="Trebuchet MS"/>
                <w:bCs/>
                <w:sz w:val="20"/>
              </w:rPr>
              <w:t xml:space="preserve"> v souvislosti s podporou</w:t>
            </w:r>
            <w:r>
              <w:rPr>
                <w:rFonts w:ascii="Trebuchet MS" w:hAnsi="Trebuchet MS"/>
                <w:bCs/>
                <w:sz w:val="20"/>
              </w:rPr>
              <w:t>, kterou program nabízí (</w:t>
            </w:r>
            <w:proofErr w:type="spellStart"/>
            <w:r w:rsidR="008A3D1F">
              <w:rPr>
                <w:rFonts w:ascii="Trebuchet MS" w:hAnsi="Trebuchet MS"/>
                <w:bCs/>
                <w:sz w:val="20"/>
              </w:rPr>
              <w:t>ŘO</w:t>
            </w:r>
            <w:proofErr w:type="spellEnd"/>
            <w:r w:rsidR="008A3D1F">
              <w:rPr>
                <w:rFonts w:ascii="Trebuchet MS" w:hAnsi="Trebuchet MS"/>
                <w:bCs/>
                <w:sz w:val="20"/>
              </w:rPr>
              <w:t>/</w:t>
            </w:r>
            <w:proofErr w:type="spellStart"/>
            <w:r w:rsidR="008A3D1F">
              <w:rPr>
                <w:rFonts w:ascii="Trebuchet MS" w:hAnsi="Trebuchet MS"/>
                <w:bCs/>
                <w:sz w:val="20"/>
              </w:rPr>
              <w:t>SS</w:t>
            </w:r>
            <w:proofErr w:type="spellEnd"/>
            <w:r w:rsidR="008A3D1F">
              <w:rPr>
                <w:rFonts w:ascii="Trebuchet MS" w:hAnsi="Trebuchet MS"/>
                <w:bCs/>
                <w:sz w:val="20"/>
              </w:rPr>
              <w:t>/</w:t>
            </w:r>
            <w:r w:rsidR="00ED155C">
              <w:rPr>
                <w:rFonts w:ascii="Trebuchet MS" w:hAnsi="Trebuchet MS"/>
                <w:bCs/>
                <w:sz w:val="20"/>
              </w:rPr>
              <w:t xml:space="preserve">síť </w:t>
            </w:r>
            <w:r w:rsidR="008A3D1F">
              <w:rPr>
                <w:rFonts w:ascii="Trebuchet MS" w:hAnsi="Trebuchet MS"/>
                <w:bCs/>
                <w:sz w:val="20"/>
              </w:rPr>
              <w:t>kontaktní</w:t>
            </w:r>
            <w:r w:rsidR="00ED155C">
              <w:rPr>
                <w:rFonts w:ascii="Trebuchet MS" w:hAnsi="Trebuchet MS"/>
                <w:bCs/>
                <w:sz w:val="20"/>
              </w:rPr>
              <w:t>ch</w:t>
            </w:r>
            <w:r w:rsidR="008A3D1F">
              <w:rPr>
                <w:rFonts w:ascii="Trebuchet MS" w:hAnsi="Trebuchet MS"/>
                <w:bCs/>
                <w:sz w:val="20"/>
              </w:rPr>
              <w:t xml:space="preserve"> míst</w:t>
            </w:r>
            <w:r>
              <w:rPr>
                <w:rFonts w:ascii="Trebuchet MS" w:hAnsi="Trebuchet MS"/>
                <w:bCs/>
                <w:sz w:val="20"/>
              </w:rPr>
              <w:t>)</w:t>
            </w:r>
          </w:p>
          <w:p w:rsidR="00F434CC" w:rsidRPr="00F434CC" w:rsidRDefault="00F434CC" w:rsidP="00F434CC">
            <w:pPr>
              <w:pStyle w:val="Text1"/>
              <w:spacing w:after="0"/>
              <w:ind w:left="0"/>
              <w:jc w:val="left"/>
              <w:rPr>
                <w:rFonts w:ascii="Trebuchet MS" w:hAnsi="Trebuchet MS"/>
                <w:bCs/>
                <w:sz w:val="20"/>
              </w:rPr>
            </w:pPr>
          </w:p>
          <w:p w:rsidR="003D37D5" w:rsidRDefault="003D37D5" w:rsidP="00F434CC">
            <w:pPr>
              <w:pStyle w:val="Text1"/>
              <w:numPr>
                <w:ilvl w:val="0"/>
                <w:numId w:val="5"/>
              </w:numPr>
              <w:spacing w:after="0"/>
              <w:ind w:left="317" w:hanging="284"/>
              <w:jc w:val="left"/>
              <w:rPr>
                <w:rFonts w:ascii="Trebuchet MS" w:hAnsi="Trebuchet MS"/>
                <w:bCs/>
                <w:sz w:val="20"/>
              </w:rPr>
            </w:pPr>
          </w:p>
        </w:tc>
      </w:tr>
    </w:tbl>
    <w:p w:rsidR="009D674E" w:rsidRDefault="009D674E">
      <w:pPr>
        <w:rPr>
          <w:rFonts w:ascii="Trebuchet MS" w:hAnsi="Trebuchet MS"/>
        </w:rPr>
      </w:pPr>
    </w:p>
    <w:sectPr w:rsidR="009D674E" w:rsidSect="000F65CB">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3A5" w:rsidRDefault="007A73A5" w:rsidP="00CB2D53">
      <w:pPr>
        <w:spacing w:after="0" w:line="240" w:lineRule="auto"/>
      </w:pPr>
      <w:r>
        <w:separator/>
      </w:r>
    </w:p>
  </w:endnote>
  <w:endnote w:type="continuationSeparator" w:id="0">
    <w:p w:rsidR="007A73A5" w:rsidRDefault="007A73A5" w:rsidP="00CB2D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74E" w:rsidRPr="001405BB" w:rsidRDefault="00DF2D5F">
    <w:pPr>
      <w:pStyle w:val="Zpat"/>
      <w:jc w:val="right"/>
      <w:rPr>
        <w:sz w:val="20"/>
        <w:szCs w:val="20"/>
      </w:rPr>
    </w:pPr>
    <w:r w:rsidRPr="001405BB">
      <w:rPr>
        <w:rFonts w:ascii="Trebuchet MS" w:hAnsi="Trebuchet MS"/>
        <w:sz w:val="20"/>
        <w:szCs w:val="20"/>
      </w:rPr>
      <w:fldChar w:fldCharType="begin"/>
    </w:r>
    <w:r w:rsidR="009D674E" w:rsidRPr="001405BB">
      <w:rPr>
        <w:rFonts w:ascii="Trebuchet MS" w:hAnsi="Trebuchet MS"/>
        <w:sz w:val="20"/>
        <w:szCs w:val="20"/>
      </w:rPr>
      <w:instrText xml:space="preserve"> PAGE   \* MERGEFORMAT </w:instrText>
    </w:r>
    <w:r w:rsidRPr="001405BB">
      <w:rPr>
        <w:rFonts w:ascii="Trebuchet MS" w:hAnsi="Trebuchet MS"/>
        <w:sz w:val="20"/>
        <w:szCs w:val="20"/>
      </w:rPr>
      <w:fldChar w:fldCharType="separate"/>
    </w:r>
    <w:r w:rsidR="003556D7">
      <w:rPr>
        <w:rFonts w:ascii="Trebuchet MS" w:hAnsi="Trebuchet MS"/>
        <w:noProof/>
        <w:sz w:val="20"/>
        <w:szCs w:val="20"/>
      </w:rPr>
      <w:t>1</w:t>
    </w:r>
    <w:r w:rsidRPr="001405BB">
      <w:rPr>
        <w:rFonts w:ascii="Trebuchet MS" w:hAnsi="Trebuchet MS"/>
        <w:sz w:val="20"/>
        <w:szCs w:val="20"/>
      </w:rPr>
      <w:fldChar w:fldCharType="end"/>
    </w:r>
  </w:p>
  <w:p w:rsidR="009D674E" w:rsidRDefault="009D674E">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3A5" w:rsidRDefault="007A73A5" w:rsidP="00CB2D53">
      <w:pPr>
        <w:spacing w:after="0" w:line="240" w:lineRule="auto"/>
      </w:pPr>
      <w:r>
        <w:separator/>
      </w:r>
    </w:p>
  </w:footnote>
  <w:footnote w:type="continuationSeparator" w:id="0">
    <w:p w:rsidR="007A73A5" w:rsidRDefault="007A73A5" w:rsidP="00CB2D53">
      <w:pPr>
        <w:spacing w:after="0" w:line="240" w:lineRule="auto"/>
      </w:pPr>
      <w:r>
        <w:continuationSeparator/>
      </w:r>
    </w:p>
  </w:footnote>
  <w:footnote w:id="1">
    <w:p w:rsidR="009D674E" w:rsidRDefault="009D674E">
      <w:pPr>
        <w:pStyle w:val="Textpoznpodarou"/>
      </w:pPr>
      <w:r>
        <w:rPr>
          <w:rStyle w:val="Znakapoznpodarou"/>
          <w:rFonts w:ascii="Trebuchet MS" w:hAnsi="Trebuchet MS"/>
          <w:sz w:val="18"/>
        </w:rPr>
        <w:footnoteRef/>
      </w:r>
      <w:r>
        <w:rPr>
          <w:rFonts w:ascii="Trebuchet MS" w:hAnsi="Trebuchet MS"/>
          <w:sz w:val="18"/>
        </w:rPr>
        <w:t xml:space="preserve"> viz metodický pokyn ES o monitorování a hodnocení</w:t>
      </w:r>
    </w:p>
  </w:footnote>
  <w:footnote w:id="2">
    <w:p w:rsidR="009D674E" w:rsidRDefault="009D674E">
      <w:pPr>
        <w:pStyle w:val="Textpoznpodarou"/>
      </w:pPr>
      <w:r>
        <w:rPr>
          <w:rStyle w:val="Znakapoznpodarou"/>
          <w:rFonts w:ascii="Trebuchet MS" w:hAnsi="Trebuchet MS"/>
          <w:sz w:val="18"/>
        </w:rPr>
        <w:footnoteRef/>
      </w:r>
      <w:r>
        <w:rPr>
          <w:rFonts w:ascii="Trebuchet MS" w:hAnsi="Trebuchet MS"/>
          <w:sz w:val="18"/>
        </w:rPr>
        <w:t xml:space="preserve"> přiřazující datům, u nichž přímé měření není možné, přibližné kvantitativní hodnoty</w:t>
      </w:r>
      <w:r w:rsidR="00C329DE">
        <w:rPr>
          <w:rFonts w:ascii="Trebuchet MS" w:hAnsi="Trebuchet MS"/>
          <w:sz w:val="18"/>
        </w:rPr>
        <w:t xml:space="preserve">, </w:t>
      </w:r>
      <w:proofErr w:type="spellStart"/>
      <w:r w:rsidR="00C329DE">
        <w:rPr>
          <w:rFonts w:ascii="Trebuchet MS" w:hAnsi="Trebuchet MS"/>
          <w:sz w:val="18"/>
        </w:rPr>
        <w:t>Monsen</w:t>
      </w:r>
      <w:proofErr w:type="spellEnd"/>
      <w:r w:rsidR="00C329DE">
        <w:rPr>
          <w:rFonts w:ascii="Trebuchet MS" w:hAnsi="Trebuchet MS"/>
          <w:sz w:val="18"/>
        </w:rPr>
        <w:t xml:space="preserve">, Van </w:t>
      </w:r>
      <w:proofErr w:type="spellStart"/>
      <w:r w:rsidR="00C329DE">
        <w:rPr>
          <w:rFonts w:ascii="Trebuchet MS" w:hAnsi="Trebuchet MS"/>
          <w:sz w:val="18"/>
        </w:rPr>
        <w:t>Horn</w:t>
      </w:r>
      <w:proofErr w:type="spellEnd"/>
      <w:r w:rsidR="00C329DE">
        <w:rPr>
          <w:rFonts w:ascii="Trebuchet MS" w:hAnsi="Trebuchet MS"/>
          <w:sz w:val="18"/>
        </w:rPr>
        <w:t xml:space="preserve"> (2008): Výzkum: Úspěšné přístupy</w:t>
      </w:r>
    </w:p>
  </w:footnote>
  <w:footnote w:id="3">
    <w:p w:rsidR="009D674E" w:rsidRDefault="009D674E" w:rsidP="005E3660">
      <w:pPr>
        <w:pStyle w:val="Textpoznpodarou"/>
        <w:ind w:left="180" w:hanging="180"/>
        <w:jc w:val="both"/>
      </w:pPr>
      <w:r>
        <w:rPr>
          <w:rStyle w:val="Znakapoznpodarou"/>
          <w:rFonts w:ascii="Trebuchet MS" w:hAnsi="Trebuchet MS"/>
        </w:rPr>
        <w:footnoteRef/>
      </w:r>
      <w:r>
        <w:rPr>
          <w:rFonts w:ascii="Trebuchet MS" w:hAnsi="Trebuchet MS"/>
        </w:rPr>
        <w:t xml:space="preserve"> </w:t>
      </w:r>
      <w:r>
        <w:rPr>
          <w:rFonts w:ascii="Trebuchet MS" w:hAnsi="Trebuchet MS"/>
          <w:sz w:val="18"/>
        </w:rPr>
        <w:t xml:space="preserve">Pokud to bude možné, průzkumu se budou účastnit vždy titíž odborníci. </w:t>
      </w:r>
      <w:r w:rsidR="00893AE0">
        <w:rPr>
          <w:rFonts w:ascii="Trebuchet MS" w:hAnsi="Trebuchet MS"/>
          <w:sz w:val="18"/>
        </w:rPr>
        <w:t>V</w:t>
      </w:r>
      <w:r>
        <w:rPr>
          <w:rFonts w:ascii="Trebuchet MS" w:hAnsi="Trebuchet MS"/>
          <w:sz w:val="18"/>
        </w:rPr>
        <w:t> případě, že některý z odborníků nebude v některé z fází průzkumu k dispozici, bude nahrazen jiným odborníkem s podobným profilem, který bude vybrán v souladu s výše uvedenými kritérii a který bude dodržovat stejný postup.</w:t>
      </w:r>
      <w:r>
        <w:rPr>
          <w:rFonts w:ascii="Trebuchet MS" w:hAnsi="Trebuchet MS"/>
        </w:rPr>
        <w:t xml:space="preserve"> </w:t>
      </w:r>
    </w:p>
  </w:footnote>
  <w:footnote w:id="4">
    <w:p w:rsidR="00945A8B" w:rsidRDefault="00945A8B">
      <w:pPr>
        <w:pStyle w:val="Textpoznpodarou"/>
      </w:pPr>
      <w:r>
        <w:rPr>
          <w:rStyle w:val="Znakapoznpodarou"/>
        </w:rPr>
        <w:footnoteRef/>
      </w:r>
      <w:r>
        <w:t xml:space="preserve"> V analýze masmédií označuje dosah celkový počet různých lidí nebo domácností vystavených v daném období alespoň jednou působení příslušného masmédia.</w:t>
      </w:r>
    </w:p>
  </w:footnote>
  <w:footnote w:id="5">
    <w:p w:rsidR="009D674E" w:rsidRDefault="009D674E">
      <w:pPr>
        <w:pStyle w:val="Textpoznpodarou"/>
      </w:pPr>
      <w:r>
        <w:rPr>
          <w:rStyle w:val="Znakapoznpodarou"/>
        </w:rPr>
        <w:footnoteRef/>
      </w:r>
      <w:r>
        <w:t xml:space="preserve"> </w:t>
      </w:r>
      <w:r>
        <w:rPr>
          <w:rFonts w:ascii="Trebuchet MS" w:hAnsi="Trebuchet MS"/>
        </w:rPr>
        <w:t xml:space="preserve">Definice </w:t>
      </w:r>
      <w:proofErr w:type="spellStart"/>
      <w:r>
        <w:rPr>
          <w:rFonts w:ascii="Trebuchet MS" w:hAnsi="Trebuchet MS"/>
        </w:rPr>
        <w:t>IUCN</w:t>
      </w:r>
      <w:proofErr w:type="spellEnd"/>
      <w:r>
        <w:rPr>
          <w:rFonts w:ascii="Trebuchet MS" w:hAnsi="Trebuchet MS"/>
        </w:rPr>
        <w:t xml:space="preserve">: </w:t>
      </w:r>
      <w:hyperlink r:id="rId1">
        <w:r>
          <w:rPr>
            <w:rStyle w:val="Hypertextovodkaz"/>
            <w:rFonts w:ascii="Trebuchet MS" w:hAnsi="Trebuchet MS"/>
          </w:rPr>
          <w:t>http://cmsdata.iucn.org/downloads/en_iucn__glossary_definitions.pdf</w:t>
        </w:r>
      </w:hyperlink>
    </w:p>
  </w:footnote>
  <w:footnote w:id="6">
    <w:p w:rsidR="009D674E" w:rsidRDefault="009D674E">
      <w:pPr>
        <w:pStyle w:val="Textpoznpodarou"/>
      </w:pPr>
      <w:r>
        <w:rPr>
          <w:rStyle w:val="Znakapoznpodarou"/>
        </w:rPr>
        <w:footnoteRef/>
      </w:r>
      <w:r>
        <w:t xml:space="preserve"> </w:t>
      </w:r>
      <w:r>
        <w:rPr>
          <w:rFonts w:ascii="Trebuchet MS" w:hAnsi="Trebuchet MS"/>
        </w:rPr>
        <w:t xml:space="preserve">UNESCO: </w:t>
      </w:r>
      <w:hyperlink r:id="rId2">
        <w:r>
          <w:rPr>
            <w:rStyle w:val="Hypertextovodkaz"/>
            <w:rFonts w:ascii="Trebuchet MS" w:hAnsi="Trebuchet MS"/>
          </w:rPr>
          <w:t>http://www.unesco.org/new/en/cairo/culture/tangible-cultural-heritage/</w:t>
        </w:r>
      </w:hyperlink>
      <w:r>
        <w:t xml:space="preserve"> </w:t>
      </w:r>
    </w:p>
  </w:footnote>
  <w:footnote w:id="7">
    <w:p w:rsidR="009D674E" w:rsidRDefault="009D674E" w:rsidP="00F758D8">
      <w:pPr>
        <w:pStyle w:val="Textpoznpodarou"/>
      </w:pPr>
      <w:r>
        <w:rPr>
          <w:rStyle w:val="Znakapoznpodarou"/>
        </w:rPr>
        <w:footnoteRef/>
      </w:r>
      <w:r>
        <w:t xml:space="preserve"> </w:t>
      </w:r>
      <w:r>
        <w:rPr>
          <w:rFonts w:ascii="Trebuchet MS" w:hAnsi="Trebuchet MS"/>
          <w:sz w:val="18"/>
        </w:rPr>
        <w:t xml:space="preserve">Návrh </w:t>
      </w:r>
      <w:r w:rsidR="00152329" w:rsidRPr="00C72E40">
        <w:rPr>
          <w:rFonts w:ascii="Trebuchet MS" w:hAnsi="Trebuchet MS"/>
          <w:sz w:val="18"/>
        </w:rPr>
        <w:t xml:space="preserve">Nařízení Evropského </w:t>
      </w:r>
      <w:r w:rsidR="00152329">
        <w:rPr>
          <w:rFonts w:ascii="Trebuchet MS" w:hAnsi="Trebuchet MS"/>
          <w:sz w:val="18"/>
        </w:rPr>
        <w:t>p</w:t>
      </w:r>
      <w:r w:rsidR="00152329" w:rsidRPr="00C72E40">
        <w:rPr>
          <w:rFonts w:ascii="Trebuchet MS" w:hAnsi="Trebuchet MS"/>
          <w:sz w:val="18"/>
        </w:rPr>
        <w:t xml:space="preserve">arlamentu </w:t>
      </w:r>
      <w:r w:rsidR="00152329">
        <w:rPr>
          <w:rFonts w:ascii="Trebuchet MS" w:hAnsi="Trebuchet MS"/>
          <w:sz w:val="18"/>
        </w:rPr>
        <w:t>a</w:t>
      </w:r>
      <w:r w:rsidR="00152329" w:rsidRPr="00C72E40">
        <w:rPr>
          <w:rFonts w:ascii="Trebuchet MS" w:hAnsi="Trebuchet MS"/>
          <w:sz w:val="18"/>
        </w:rPr>
        <w:t xml:space="preserve"> Rady</w:t>
      </w:r>
      <w:r w:rsidR="00152329">
        <w:rPr>
          <w:rFonts w:ascii="Trebuchet MS" w:hAnsi="Trebuchet MS"/>
          <w:sz w:val="18"/>
        </w:rPr>
        <w:t xml:space="preserve"> </w:t>
      </w:r>
      <w:r>
        <w:rPr>
          <w:rFonts w:ascii="Trebuchet MS" w:hAnsi="Trebuchet MS"/>
          <w:sz w:val="18"/>
        </w:rPr>
        <w:t xml:space="preserve">o opatřeních Unie na rozvoj transevropské dopravní sítě KOM (2011) 650 </w:t>
      </w:r>
      <w:r w:rsidR="00152329">
        <w:rPr>
          <w:rFonts w:ascii="Trebuchet MS" w:hAnsi="Trebuchet MS"/>
          <w:sz w:val="18"/>
        </w:rPr>
        <w:t>v konečném znění</w:t>
      </w:r>
      <w:r>
        <w:rPr>
          <w:rFonts w:ascii="Trebuchet MS" w:hAnsi="Trebuchet MS"/>
          <w:sz w:val="18"/>
        </w:rPr>
        <w:t>/2).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35275"/>
    <w:multiLevelType w:val="hybridMultilevel"/>
    <w:tmpl w:val="13D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B06AFC"/>
    <w:multiLevelType w:val="multilevel"/>
    <w:tmpl w:val="49FCABC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3BEE582D"/>
    <w:multiLevelType w:val="hybridMultilevel"/>
    <w:tmpl w:val="19AE6DEE"/>
    <w:lvl w:ilvl="0" w:tplc="DE8097AC">
      <w:numFmt w:val="bullet"/>
      <w:lvlText w:val="-"/>
      <w:lvlJc w:val="left"/>
      <w:pPr>
        <w:ind w:left="360" w:hanging="360"/>
      </w:pPr>
      <w:rPr>
        <w:rFonts w:ascii="Trebuchet MS" w:eastAsia="Times New Roman" w:hAnsi="Trebuchet MS" w:hint="default"/>
      </w:rPr>
    </w:lvl>
    <w:lvl w:ilvl="1" w:tplc="0C070003" w:tentative="1">
      <w:start w:val="1"/>
      <w:numFmt w:val="bullet"/>
      <w:lvlText w:val="o"/>
      <w:lvlJc w:val="left"/>
      <w:pPr>
        <w:ind w:left="1080" w:hanging="360"/>
      </w:pPr>
      <w:rPr>
        <w:rFonts w:ascii="Courier New" w:hAnsi="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
    <w:nsid w:val="6932721D"/>
    <w:multiLevelType w:val="multilevel"/>
    <w:tmpl w:val="0AB8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4403F9"/>
    <w:multiLevelType w:val="hybridMultilevel"/>
    <w:tmpl w:val="4BCA03C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6AF61ECA"/>
    <w:multiLevelType w:val="hybridMultilevel"/>
    <w:tmpl w:val="AC827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E33CE0"/>
    <w:multiLevelType w:val="hybridMultilevel"/>
    <w:tmpl w:val="251AB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6"/>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proofState w:spelling="clean" w:grammar="clean"/>
  <w:defaultTabStop w:val="720"/>
  <w:hyphenationZone w:val="425"/>
  <w:characterSpacingControl w:val="doNotCompress"/>
  <w:footnotePr>
    <w:footnote w:id="-1"/>
    <w:footnote w:id="0"/>
  </w:footnotePr>
  <w:endnotePr>
    <w:endnote w:id="-1"/>
    <w:endnote w:id="0"/>
  </w:endnotePr>
  <w:compat/>
  <w:rsids>
    <w:rsidRoot w:val="00A34585"/>
    <w:rsid w:val="000011B5"/>
    <w:rsid w:val="0001001C"/>
    <w:rsid w:val="00025083"/>
    <w:rsid w:val="00033C62"/>
    <w:rsid w:val="0004370A"/>
    <w:rsid w:val="000515E8"/>
    <w:rsid w:val="000545C7"/>
    <w:rsid w:val="000624D5"/>
    <w:rsid w:val="000634A2"/>
    <w:rsid w:val="00073183"/>
    <w:rsid w:val="00074BBD"/>
    <w:rsid w:val="00083C73"/>
    <w:rsid w:val="00092C1B"/>
    <w:rsid w:val="000A0336"/>
    <w:rsid w:val="000B22CE"/>
    <w:rsid w:val="000C23E8"/>
    <w:rsid w:val="000C43D8"/>
    <w:rsid w:val="000D0813"/>
    <w:rsid w:val="000D0AC2"/>
    <w:rsid w:val="000E4040"/>
    <w:rsid w:val="000F0B65"/>
    <w:rsid w:val="000F3EB1"/>
    <w:rsid w:val="000F50C9"/>
    <w:rsid w:val="000F65CB"/>
    <w:rsid w:val="00101A1F"/>
    <w:rsid w:val="0010627B"/>
    <w:rsid w:val="00113ED6"/>
    <w:rsid w:val="00125510"/>
    <w:rsid w:val="0013207C"/>
    <w:rsid w:val="00136483"/>
    <w:rsid w:val="001405BB"/>
    <w:rsid w:val="00147999"/>
    <w:rsid w:val="00150BF7"/>
    <w:rsid w:val="00152329"/>
    <w:rsid w:val="001550CA"/>
    <w:rsid w:val="00172A3C"/>
    <w:rsid w:val="001732DA"/>
    <w:rsid w:val="00175B5D"/>
    <w:rsid w:val="00176D36"/>
    <w:rsid w:val="00182F19"/>
    <w:rsid w:val="001904B0"/>
    <w:rsid w:val="0019232E"/>
    <w:rsid w:val="001A3577"/>
    <w:rsid w:val="001A3C68"/>
    <w:rsid w:val="001B7F92"/>
    <w:rsid w:val="001D696B"/>
    <w:rsid w:val="001E5BCD"/>
    <w:rsid w:val="0020367D"/>
    <w:rsid w:val="00220754"/>
    <w:rsid w:val="00244A18"/>
    <w:rsid w:val="0024564B"/>
    <w:rsid w:val="00252669"/>
    <w:rsid w:val="00253D3B"/>
    <w:rsid w:val="00262E6F"/>
    <w:rsid w:val="00286081"/>
    <w:rsid w:val="002A3E9C"/>
    <w:rsid w:val="002A429E"/>
    <w:rsid w:val="002C3FAB"/>
    <w:rsid w:val="002E3E06"/>
    <w:rsid w:val="003023FD"/>
    <w:rsid w:val="003174BF"/>
    <w:rsid w:val="00336ACE"/>
    <w:rsid w:val="00342AA0"/>
    <w:rsid w:val="003556D7"/>
    <w:rsid w:val="00360F8C"/>
    <w:rsid w:val="0036687E"/>
    <w:rsid w:val="0036795B"/>
    <w:rsid w:val="003A0768"/>
    <w:rsid w:val="003B57D9"/>
    <w:rsid w:val="003D2396"/>
    <w:rsid w:val="003D37D5"/>
    <w:rsid w:val="0040470A"/>
    <w:rsid w:val="004141A5"/>
    <w:rsid w:val="00423D01"/>
    <w:rsid w:val="004252C8"/>
    <w:rsid w:val="00427F03"/>
    <w:rsid w:val="00432EEA"/>
    <w:rsid w:val="00440D59"/>
    <w:rsid w:val="004436F0"/>
    <w:rsid w:val="00445804"/>
    <w:rsid w:val="004565C6"/>
    <w:rsid w:val="00463519"/>
    <w:rsid w:val="00467F09"/>
    <w:rsid w:val="004703D9"/>
    <w:rsid w:val="00471907"/>
    <w:rsid w:val="00486930"/>
    <w:rsid w:val="004875D5"/>
    <w:rsid w:val="0049112D"/>
    <w:rsid w:val="00491B94"/>
    <w:rsid w:val="00496395"/>
    <w:rsid w:val="004B3594"/>
    <w:rsid w:val="004B6927"/>
    <w:rsid w:val="004D0E5C"/>
    <w:rsid w:val="004E08CF"/>
    <w:rsid w:val="004E269D"/>
    <w:rsid w:val="004E3112"/>
    <w:rsid w:val="004E5E68"/>
    <w:rsid w:val="004F0357"/>
    <w:rsid w:val="004F2973"/>
    <w:rsid w:val="00500BA3"/>
    <w:rsid w:val="00503EB3"/>
    <w:rsid w:val="005126A6"/>
    <w:rsid w:val="0053407B"/>
    <w:rsid w:val="005452F2"/>
    <w:rsid w:val="00554C5F"/>
    <w:rsid w:val="00555DB2"/>
    <w:rsid w:val="00561A59"/>
    <w:rsid w:val="0058504B"/>
    <w:rsid w:val="005A5EF5"/>
    <w:rsid w:val="005A5FF8"/>
    <w:rsid w:val="005C02B5"/>
    <w:rsid w:val="005D618F"/>
    <w:rsid w:val="005E1EED"/>
    <w:rsid w:val="005E2B57"/>
    <w:rsid w:val="005E3660"/>
    <w:rsid w:val="005E4640"/>
    <w:rsid w:val="005E6FAC"/>
    <w:rsid w:val="005F15A3"/>
    <w:rsid w:val="005F5DAA"/>
    <w:rsid w:val="00610E28"/>
    <w:rsid w:val="00621D7B"/>
    <w:rsid w:val="006273FA"/>
    <w:rsid w:val="006455D6"/>
    <w:rsid w:val="006659D6"/>
    <w:rsid w:val="00666718"/>
    <w:rsid w:val="00670EA9"/>
    <w:rsid w:val="00683DA6"/>
    <w:rsid w:val="006A506F"/>
    <w:rsid w:val="006A5B4E"/>
    <w:rsid w:val="006B1952"/>
    <w:rsid w:val="006C0CC7"/>
    <w:rsid w:val="006D0610"/>
    <w:rsid w:val="006E3BDB"/>
    <w:rsid w:val="00715931"/>
    <w:rsid w:val="00727829"/>
    <w:rsid w:val="0073032C"/>
    <w:rsid w:val="00730C3F"/>
    <w:rsid w:val="0075140A"/>
    <w:rsid w:val="007534D5"/>
    <w:rsid w:val="007558B3"/>
    <w:rsid w:val="00772F03"/>
    <w:rsid w:val="00774B24"/>
    <w:rsid w:val="007750A6"/>
    <w:rsid w:val="007913B7"/>
    <w:rsid w:val="00791BBB"/>
    <w:rsid w:val="007A3937"/>
    <w:rsid w:val="007A5CA4"/>
    <w:rsid w:val="007A73A5"/>
    <w:rsid w:val="007B491D"/>
    <w:rsid w:val="007C45F7"/>
    <w:rsid w:val="007D7A1B"/>
    <w:rsid w:val="00806928"/>
    <w:rsid w:val="00813A30"/>
    <w:rsid w:val="008333DC"/>
    <w:rsid w:val="00840EDB"/>
    <w:rsid w:val="00870A0F"/>
    <w:rsid w:val="0087595B"/>
    <w:rsid w:val="00893AE0"/>
    <w:rsid w:val="008A0233"/>
    <w:rsid w:val="008A3D1F"/>
    <w:rsid w:val="008B7358"/>
    <w:rsid w:val="008C0677"/>
    <w:rsid w:val="008C6665"/>
    <w:rsid w:val="008C7C8A"/>
    <w:rsid w:val="008E44B4"/>
    <w:rsid w:val="008E7683"/>
    <w:rsid w:val="0093149E"/>
    <w:rsid w:val="00937D3C"/>
    <w:rsid w:val="00945A8B"/>
    <w:rsid w:val="00951A6A"/>
    <w:rsid w:val="00952F2C"/>
    <w:rsid w:val="00960F9C"/>
    <w:rsid w:val="00971105"/>
    <w:rsid w:val="009838F2"/>
    <w:rsid w:val="00986D5A"/>
    <w:rsid w:val="00993188"/>
    <w:rsid w:val="009A600F"/>
    <w:rsid w:val="009B2128"/>
    <w:rsid w:val="009C7FB6"/>
    <w:rsid w:val="009D1E71"/>
    <w:rsid w:val="009D674E"/>
    <w:rsid w:val="009E4E77"/>
    <w:rsid w:val="009F20E2"/>
    <w:rsid w:val="00A04B9F"/>
    <w:rsid w:val="00A2536D"/>
    <w:rsid w:val="00A31858"/>
    <w:rsid w:val="00A34585"/>
    <w:rsid w:val="00A4187E"/>
    <w:rsid w:val="00A51248"/>
    <w:rsid w:val="00A97535"/>
    <w:rsid w:val="00AA0938"/>
    <w:rsid w:val="00AA5950"/>
    <w:rsid w:val="00AA74EB"/>
    <w:rsid w:val="00AB6B9A"/>
    <w:rsid w:val="00AC5C11"/>
    <w:rsid w:val="00AC7659"/>
    <w:rsid w:val="00AF136D"/>
    <w:rsid w:val="00AF37E3"/>
    <w:rsid w:val="00AF7DF5"/>
    <w:rsid w:val="00B029A5"/>
    <w:rsid w:val="00B3524A"/>
    <w:rsid w:val="00B6016A"/>
    <w:rsid w:val="00B65A71"/>
    <w:rsid w:val="00B71B27"/>
    <w:rsid w:val="00B75584"/>
    <w:rsid w:val="00B773E8"/>
    <w:rsid w:val="00B80064"/>
    <w:rsid w:val="00B816FC"/>
    <w:rsid w:val="00B95319"/>
    <w:rsid w:val="00BB2446"/>
    <w:rsid w:val="00BE07DA"/>
    <w:rsid w:val="00BE4A0D"/>
    <w:rsid w:val="00BE6C98"/>
    <w:rsid w:val="00C03E10"/>
    <w:rsid w:val="00C12A98"/>
    <w:rsid w:val="00C2035D"/>
    <w:rsid w:val="00C329DE"/>
    <w:rsid w:val="00C5160E"/>
    <w:rsid w:val="00C5619B"/>
    <w:rsid w:val="00C60DDC"/>
    <w:rsid w:val="00C67ED5"/>
    <w:rsid w:val="00C71E58"/>
    <w:rsid w:val="00C72E40"/>
    <w:rsid w:val="00C95E32"/>
    <w:rsid w:val="00CA10A0"/>
    <w:rsid w:val="00CB2D53"/>
    <w:rsid w:val="00CE02FB"/>
    <w:rsid w:val="00CE0871"/>
    <w:rsid w:val="00CE352B"/>
    <w:rsid w:val="00CE482B"/>
    <w:rsid w:val="00CF1CA4"/>
    <w:rsid w:val="00CF68EF"/>
    <w:rsid w:val="00CF6D18"/>
    <w:rsid w:val="00D06F69"/>
    <w:rsid w:val="00D33EA9"/>
    <w:rsid w:val="00D4384C"/>
    <w:rsid w:val="00D720AE"/>
    <w:rsid w:val="00D77E68"/>
    <w:rsid w:val="00D80AA7"/>
    <w:rsid w:val="00D8265D"/>
    <w:rsid w:val="00D902DF"/>
    <w:rsid w:val="00D93BA9"/>
    <w:rsid w:val="00D97B89"/>
    <w:rsid w:val="00DA2C95"/>
    <w:rsid w:val="00DA2D16"/>
    <w:rsid w:val="00DB66FF"/>
    <w:rsid w:val="00DD3345"/>
    <w:rsid w:val="00DD79AE"/>
    <w:rsid w:val="00DF1A7A"/>
    <w:rsid w:val="00DF2D5F"/>
    <w:rsid w:val="00E07845"/>
    <w:rsid w:val="00E17C84"/>
    <w:rsid w:val="00E20CC5"/>
    <w:rsid w:val="00E23A0E"/>
    <w:rsid w:val="00E36A25"/>
    <w:rsid w:val="00E46D00"/>
    <w:rsid w:val="00E47E27"/>
    <w:rsid w:val="00E56181"/>
    <w:rsid w:val="00E57939"/>
    <w:rsid w:val="00E63044"/>
    <w:rsid w:val="00E76969"/>
    <w:rsid w:val="00E775AE"/>
    <w:rsid w:val="00E777D5"/>
    <w:rsid w:val="00E83FAE"/>
    <w:rsid w:val="00EB50BB"/>
    <w:rsid w:val="00EC07B4"/>
    <w:rsid w:val="00ED155C"/>
    <w:rsid w:val="00ED2649"/>
    <w:rsid w:val="00EE0816"/>
    <w:rsid w:val="00F03535"/>
    <w:rsid w:val="00F03C9C"/>
    <w:rsid w:val="00F05654"/>
    <w:rsid w:val="00F13B60"/>
    <w:rsid w:val="00F151D1"/>
    <w:rsid w:val="00F32965"/>
    <w:rsid w:val="00F40FE8"/>
    <w:rsid w:val="00F434CC"/>
    <w:rsid w:val="00F5558C"/>
    <w:rsid w:val="00F67AB6"/>
    <w:rsid w:val="00F758D8"/>
    <w:rsid w:val="00F84CFB"/>
    <w:rsid w:val="00FB67BA"/>
    <w:rsid w:val="00FD33EB"/>
    <w:rsid w:val="00FE3173"/>
    <w:rsid w:val="00FE3A11"/>
    <w:rsid w:val="00FE4A80"/>
    <w:rsid w:val="00FE5D74"/>
    <w:rsid w:val="00FF1C91"/>
  </w:rsids>
  <m:mathPr>
    <m:mathFont m:val="Cambria Math"/>
    <m:brkBin m:val="before"/>
    <m:brkBinSub m:val="--"/>
    <m:smallFrac m:val="off"/>
    <m:dispDef/>
    <m:lMargin m:val="0"/>
    <m:rMargin m:val="0"/>
    <m:defJc m:val="centerGroup"/>
    <m:wrapIndent m:val="1440"/>
    <m:intLim m:val="subSup"/>
    <m:naryLim m:val="undOvr"/>
  </m:mathPr>
  <w:themeFontLang w:val="cs-CZ" w:bidi="ks-Dev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F65CB"/>
    <w:pPr>
      <w:spacing w:after="200" w:line="276" w:lineRule="auto"/>
    </w:pPr>
  </w:style>
  <w:style w:type="paragraph" w:styleId="Nadpis1">
    <w:name w:val="heading 1"/>
    <w:basedOn w:val="Normln"/>
    <w:link w:val="Nadpis1Char"/>
    <w:uiPriority w:val="99"/>
    <w:qFormat/>
    <w:rsid w:val="00342AA0"/>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342AA0"/>
    <w:rPr>
      <w:rFonts w:ascii="Times New Roman" w:hAnsi="Times New Roman" w:cs="Times New Roman"/>
      <w:b/>
      <w:bCs/>
      <w:kern w:val="36"/>
      <w:sz w:val="48"/>
      <w:szCs w:val="48"/>
      <w:lang w:eastAsia="cs-CZ"/>
    </w:rPr>
  </w:style>
  <w:style w:type="paragraph" w:customStyle="1" w:styleId="Tabelle2">
    <w:name w:val="Tabelle2"/>
    <w:basedOn w:val="Normln"/>
    <w:uiPriority w:val="99"/>
    <w:rsid w:val="00D80AA7"/>
    <w:pPr>
      <w:spacing w:before="60" w:after="60" w:line="240" w:lineRule="auto"/>
    </w:pPr>
    <w:rPr>
      <w:rFonts w:ascii="Arial" w:eastAsia="Times New Roman" w:hAnsi="Arial" w:cs="Arial"/>
      <w:sz w:val="20"/>
      <w:szCs w:val="20"/>
    </w:rPr>
  </w:style>
  <w:style w:type="paragraph" w:styleId="Zhlav">
    <w:name w:val="header"/>
    <w:basedOn w:val="Normln"/>
    <w:link w:val="ZhlavChar"/>
    <w:uiPriority w:val="99"/>
    <w:rsid w:val="00CB2D53"/>
    <w:pPr>
      <w:tabs>
        <w:tab w:val="center" w:pos="4513"/>
        <w:tab w:val="right" w:pos="9026"/>
      </w:tabs>
      <w:spacing w:after="0" w:line="240" w:lineRule="auto"/>
    </w:pPr>
  </w:style>
  <w:style w:type="character" w:customStyle="1" w:styleId="ZhlavChar">
    <w:name w:val="Záhlaví Char"/>
    <w:basedOn w:val="Standardnpsmoodstavce"/>
    <w:link w:val="Zhlav"/>
    <w:uiPriority w:val="99"/>
    <w:locked/>
    <w:rsid w:val="00CB2D53"/>
    <w:rPr>
      <w:rFonts w:cs="Times New Roman"/>
    </w:rPr>
  </w:style>
  <w:style w:type="paragraph" w:styleId="Zpat">
    <w:name w:val="footer"/>
    <w:basedOn w:val="Normln"/>
    <w:link w:val="ZpatChar"/>
    <w:uiPriority w:val="99"/>
    <w:rsid w:val="00CB2D53"/>
    <w:pPr>
      <w:tabs>
        <w:tab w:val="center" w:pos="4513"/>
        <w:tab w:val="right" w:pos="9026"/>
      </w:tabs>
      <w:spacing w:after="0" w:line="240" w:lineRule="auto"/>
    </w:pPr>
  </w:style>
  <w:style w:type="character" w:customStyle="1" w:styleId="ZpatChar">
    <w:name w:val="Zápatí Char"/>
    <w:basedOn w:val="Standardnpsmoodstavce"/>
    <w:link w:val="Zpat"/>
    <w:uiPriority w:val="99"/>
    <w:locked/>
    <w:rsid w:val="00CB2D53"/>
    <w:rPr>
      <w:rFonts w:cs="Times New Roman"/>
    </w:rPr>
  </w:style>
  <w:style w:type="paragraph" w:customStyle="1" w:styleId="Default">
    <w:name w:val="Default"/>
    <w:uiPriority w:val="99"/>
    <w:rsid w:val="00A97535"/>
    <w:pPr>
      <w:autoSpaceDE w:val="0"/>
      <w:autoSpaceDN w:val="0"/>
      <w:adjustRightInd w:val="0"/>
    </w:pPr>
    <w:rPr>
      <w:rFonts w:ascii="Times New Roman" w:hAnsi="Times New Roman"/>
      <w:color w:val="000000"/>
      <w:sz w:val="24"/>
      <w:szCs w:val="24"/>
    </w:rPr>
  </w:style>
  <w:style w:type="paragraph" w:styleId="Textvysvtlivek">
    <w:name w:val="endnote text"/>
    <w:basedOn w:val="Normln"/>
    <w:link w:val="TextvysvtlivekChar"/>
    <w:uiPriority w:val="99"/>
    <w:semiHidden/>
    <w:rsid w:val="00427F03"/>
    <w:pPr>
      <w:spacing w:after="0" w:line="240" w:lineRule="auto"/>
    </w:pPr>
    <w:rPr>
      <w:sz w:val="20"/>
      <w:szCs w:val="20"/>
    </w:rPr>
  </w:style>
  <w:style w:type="character" w:customStyle="1" w:styleId="TextvysvtlivekChar">
    <w:name w:val="Text vysvětlivek Char"/>
    <w:basedOn w:val="Standardnpsmoodstavce"/>
    <w:link w:val="Textvysvtlivek"/>
    <w:uiPriority w:val="99"/>
    <w:semiHidden/>
    <w:locked/>
    <w:rsid w:val="00427F03"/>
    <w:rPr>
      <w:rFonts w:cs="Times New Roman"/>
      <w:sz w:val="20"/>
      <w:szCs w:val="20"/>
    </w:rPr>
  </w:style>
  <w:style w:type="character" w:styleId="Odkaznavysvtlivky">
    <w:name w:val="endnote reference"/>
    <w:basedOn w:val="Standardnpsmoodstavce"/>
    <w:uiPriority w:val="99"/>
    <w:semiHidden/>
    <w:rsid w:val="00427F03"/>
    <w:rPr>
      <w:rFonts w:cs="Times New Roman"/>
      <w:vertAlign w:val="superscript"/>
    </w:rPr>
  </w:style>
  <w:style w:type="paragraph" w:styleId="Textpoznpodarou">
    <w:name w:val="footnote text"/>
    <w:basedOn w:val="Normln"/>
    <w:link w:val="TextpoznpodarouChar"/>
    <w:uiPriority w:val="99"/>
    <w:semiHidden/>
    <w:rsid w:val="00427F03"/>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427F03"/>
    <w:rPr>
      <w:rFonts w:cs="Times New Roman"/>
      <w:sz w:val="20"/>
      <w:szCs w:val="20"/>
    </w:rPr>
  </w:style>
  <w:style w:type="character" w:styleId="Znakapoznpodarou">
    <w:name w:val="footnote reference"/>
    <w:basedOn w:val="Standardnpsmoodstavce"/>
    <w:uiPriority w:val="99"/>
    <w:semiHidden/>
    <w:rsid w:val="00427F03"/>
    <w:rPr>
      <w:rFonts w:cs="Times New Roman"/>
      <w:vertAlign w:val="superscript"/>
    </w:rPr>
  </w:style>
  <w:style w:type="character" w:styleId="Zvraznn">
    <w:name w:val="Emphasis"/>
    <w:basedOn w:val="Standardnpsmoodstavce"/>
    <w:uiPriority w:val="99"/>
    <w:qFormat/>
    <w:rsid w:val="000515E8"/>
    <w:rPr>
      <w:rFonts w:cs="Times New Roman"/>
      <w:i/>
      <w:iCs/>
    </w:rPr>
  </w:style>
  <w:style w:type="character" w:styleId="Odkaznakoment">
    <w:name w:val="annotation reference"/>
    <w:basedOn w:val="Standardnpsmoodstavce"/>
    <w:uiPriority w:val="99"/>
    <w:semiHidden/>
    <w:rsid w:val="00E775AE"/>
    <w:rPr>
      <w:rFonts w:cs="Times New Roman"/>
      <w:sz w:val="16"/>
      <w:szCs w:val="16"/>
    </w:rPr>
  </w:style>
  <w:style w:type="paragraph" w:styleId="Textkomente">
    <w:name w:val="annotation text"/>
    <w:basedOn w:val="Normln"/>
    <w:link w:val="TextkomenteChar"/>
    <w:uiPriority w:val="99"/>
    <w:rsid w:val="00E775AE"/>
    <w:pPr>
      <w:spacing w:line="240" w:lineRule="auto"/>
    </w:pPr>
    <w:rPr>
      <w:sz w:val="20"/>
      <w:szCs w:val="20"/>
    </w:rPr>
  </w:style>
  <w:style w:type="character" w:customStyle="1" w:styleId="TextkomenteChar">
    <w:name w:val="Text komentáře Char"/>
    <w:basedOn w:val="Standardnpsmoodstavce"/>
    <w:link w:val="Textkomente"/>
    <w:uiPriority w:val="99"/>
    <w:locked/>
    <w:rsid w:val="00E775AE"/>
    <w:rPr>
      <w:rFonts w:cs="Times New Roman"/>
      <w:sz w:val="20"/>
      <w:szCs w:val="20"/>
    </w:rPr>
  </w:style>
  <w:style w:type="paragraph" w:styleId="Pedmtkomente">
    <w:name w:val="annotation subject"/>
    <w:basedOn w:val="Textkomente"/>
    <w:next w:val="Textkomente"/>
    <w:link w:val="PedmtkomenteChar"/>
    <w:uiPriority w:val="99"/>
    <w:semiHidden/>
    <w:rsid w:val="00E775AE"/>
    <w:rPr>
      <w:b/>
      <w:bCs/>
    </w:rPr>
  </w:style>
  <w:style w:type="character" w:customStyle="1" w:styleId="PedmtkomenteChar">
    <w:name w:val="Předmět komentáře Char"/>
    <w:basedOn w:val="TextkomenteChar"/>
    <w:link w:val="Pedmtkomente"/>
    <w:uiPriority w:val="99"/>
    <w:semiHidden/>
    <w:locked/>
    <w:rsid w:val="00E775AE"/>
    <w:rPr>
      <w:b/>
      <w:bCs/>
    </w:rPr>
  </w:style>
  <w:style w:type="paragraph" w:styleId="Textbubliny">
    <w:name w:val="Balloon Text"/>
    <w:basedOn w:val="Normln"/>
    <w:link w:val="TextbublinyChar"/>
    <w:uiPriority w:val="99"/>
    <w:semiHidden/>
    <w:rsid w:val="00E775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775AE"/>
    <w:rPr>
      <w:rFonts w:ascii="Tahoma" w:hAnsi="Tahoma" w:cs="Tahoma"/>
      <w:sz w:val="16"/>
      <w:szCs w:val="16"/>
    </w:rPr>
  </w:style>
  <w:style w:type="paragraph" w:styleId="Odstavecseseznamem">
    <w:name w:val="List Paragraph"/>
    <w:basedOn w:val="Normln"/>
    <w:uiPriority w:val="99"/>
    <w:qFormat/>
    <w:rsid w:val="001B7F92"/>
    <w:pPr>
      <w:ind w:left="720"/>
      <w:contextualSpacing/>
    </w:pPr>
  </w:style>
  <w:style w:type="table" w:styleId="Svtlseznamzvraznn1">
    <w:name w:val="Light List Accent 1"/>
    <w:basedOn w:val="Normlntabulka"/>
    <w:uiPriority w:val="99"/>
    <w:rsid w:val="004719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1">
    <w:name w:val="Text 1"/>
    <w:basedOn w:val="Normln"/>
    <w:link w:val="Text1Char"/>
    <w:uiPriority w:val="99"/>
    <w:rsid w:val="00471907"/>
    <w:pPr>
      <w:spacing w:after="240" w:line="240" w:lineRule="auto"/>
      <w:ind w:left="482"/>
      <w:jc w:val="both"/>
    </w:pPr>
    <w:rPr>
      <w:rFonts w:ascii="Times New Roman" w:eastAsia="Times New Roman" w:hAnsi="Times New Roman"/>
      <w:sz w:val="24"/>
      <w:szCs w:val="20"/>
    </w:rPr>
  </w:style>
  <w:style w:type="character" w:customStyle="1" w:styleId="Text1Char">
    <w:name w:val="Text 1 Char"/>
    <w:link w:val="Text1"/>
    <w:uiPriority w:val="99"/>
    <w:locked/>
    <w:rsid w:val="00471907"/>
    <w:rPr>
      <w:rFonts w:ascii="Times New Roman" w:hAnsi="Times New Roman"/>
      <w:sz w:val="20"/>
    </w:rPr>
  </w:style>
  <w:style w:type="paragraph" w:styleId="Normlnweb">
    <w:name w:val="Normal (Web)"/>
    <w:basedOn w:val="Normln"/>
    <w:uiPriority w:val="99"/>
    <w:semiHidden/>
    <w:rsid w:val="001D696B"/>
    <w:pPr>
      <w:spacing w:before="100" w:beforeAutospacing="1" w:after="100" w:afterAutospacing="1" w:line="240" w:lineRule="auto"/>
    </w:pPr>
    <w:rPr>
      <w:rFonts w:ascii="Times New Roman" w:eastAsia="Times New Roman" w:hAnsi="Times New Roman"/>
      <w:sz w:val="24"/>
      <w:szCs w:val="24"/>
    </w:rPr>
  </w:style>
  <w:style w:type="character" w:styleId="Siln">
    <w:name w:val="Strong"/>
    <w:basedOn w:val="Standardnpsmoodstavce"/>
    <w:uiPriority w:val="99"/>
    <w:qFormat/>
    <w:rsid w:val="00342AA0"/>
    <w:rPr>
      <w:rFonts w:cs="Times New Roman"/>
      <w:b/>
      <w:bCs/>
    </w:rPr>
  </w:style>
  <w:style w:type="character" w:styleId="Hypertextovodkaz">
    <w:name w:val="Hyperlink"/>
    <w:basedOn w:val="Standardnpsmoodstavce"/>
    <w:uiPriority w:val="99"/>
    <w:rsid w:val="00172A3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21140702">
      <w:marLeft w:val="0"/>
      <w:marRight w:val="0"/>
      <w:marTop w:val="0"/>
      <w:marBottom w:val="0"/>
      <w:divBdr>
        <w:top w:val="none" w:sz="0" w:space="0" w:color="auto"/>
        <w:left w:val="none" w:sz="0" w:space="0" w:color="auto"/>
        <w:bottom w:val="none" w:sz="0" w:space="0" w:color="auto"/>
        <w:right w:val="none" w:sz="0" w:space="0" w:color="auto"/>
      </w:divBdr>
      <w:divsChild>
        <w:div w:id="921140724">
          <w:marLeft w:val="0"/>
          <w:marRight w:val="0"/>
          <w:marTop w:val="0"/>
          <w:marBottom w:val="0"/>
          <w:divBdr>
            <w:top w:val="none" w:sz="0" w:space="0" w:color="auto"/>
            <w:left w:val="none" w:sz="0" w:space="0" w:color="auto"/>
            <w:bottom w:val="none" w:sz="0" w:space="0" w:color="auto"/>
            <w:right w:val="none" w:sz="0" w:space="0" w:color="auto"/>
          </w:divBdr>
        </w:div>
        <w:div w:id="921140744">
          <w:marLeft w:val="0"/>
          <w:marRight w:val="0"/>
          <w:marTop w:val="0"/>
          <w:marBottom w:val="0"/>
          <w:divBdr>
            <w:top w:val="none" w:sz="0" w:space="0" w:color="auto"/>
            <w:left w:val="none" w:sz="0" w:space="0" w:color="auto"/>
            <w:bottom w:val="none" w:sz="0" w:space="0" w:color="auto"/>
            <w:right w:val="none" w:sz="0" w:space="0" w:color="auto"/>
          </w:divBdr>
        </w:div>
      </w:divsChild>
    </w:div>
    <w:div w:id="921140712">
      <w:marLeft w:val="0"/>
      <w:marRight w:val="0"/>
      <w:marTop w:val="0"/>
      <w:marBottom w:val="0"/>
      <w:divBdr>
        <w:top w:val="none" w:sz="0" w:space="0" w:color="auto"/>
        <w:left w:val="none" w:sz="0" w:space="0" w:color="auto"/>
        <w:bottom w:val="none" w:sz="0" w:space="0" w:color="auto"/>
        <w:right w:val="none" w:sz="0" w:space="0" w:color="auto"/>
      </w:divBdr>
    </w:div>
    <w:div w:id="921140715">
      <w:marLeft w:val="0"/>
      <w:marRight w:val="0"/>
      <w:marTop w:val="0"/>
      <w:marBottom w:val="0"/>
      <w:divBdr>
        <w:top w:val="none" w:sz="0" w:space="0" w:color="auto"/>
        <w:left w:val="none" w:sz="0" w:space="0" w:color="auto"/>
        <w:bottom w:val="none" w:sz="0" w:space="0" w:color="auto"/>
        <w:right w:val="none" w:sz="0" w:space="0" w:color="auto"/>
      </w:divBdr>
    </w:div>
    <w:div w:id="921140723">
      <w:marLeft w:val="0"/>
      <w:marRight w:val="0"/>
      <w:marTop w:val="0"/>
      <w:marBottom w:val="0"/>
      <w:divBdr>
        <w:top w:val="none" w:sz="0" w:space="0" w:color="auto"/>
        <w:left w:val="none" w:sz="0" w:space="0" w:color="auto"/>
        <w:bottom w:val="none" w:sz="0" w:space="0" w:color="auto"/>
        <w:right w:val="none" w:sz="0" w:space="0" w:color="auto"/>
      </w:divBdr>
      <w:divsChild>
        <w:div w:id="921140717">
          <w:marLeft w:val="0"/>
          <w:marRight w:val="0"/>
          <w:marTop w:val="0"/>
          <w:marBottom w:val="0"/>
          <w:divBdr>
            <w:top w:val="none" w:sz="0" w:space="0" w:color="auto"/>
            <w:left w:val="none" w:sz="0" w:space="0" w:color="auto"/>
            <w:bottom w:val="none" w:sz="0" w:space="0" w:color="auto"/>
            <w:right w:val="none" w:sz="0" w:space="0" w:color="auto"/>
          </w:divBdr>
        </w:div>
        <w:div w:id="921140719">
          <w:marLeft w:val="0"/>
          <w:marRight w:val="0"/>
          <w:marTop w:val="0"/>
          <w:marBottom w:val="0"/>
          <w:divBdr>
            <w:top w:val="none" w:sz="0" w:space="0" w:color="auto"/>
            <w:left w:val="none" w:sz="0" w:space="0" w:color="auto"/>
            <w:bottom w:val="none" w:sz="0" w:space="0" w:color="auto"/>
            <w:right w:val="none" w:sz="0" w:space="0" w:color="auto"/>
          </w:divBdr>
        </w:div>
        <w:div w:id="921140731">
          <w:marLeft w:val="0"/>
          <w:marRight w:val="0"/>
          <w:marTop w:val="0"/>
          <w:marBottom w:val="0"/>
          <w:divBdr>
            <w:top w:val="none" w:sz="0" w:space="0" w:color="auto"/>
            <w:left w:val="none" w:sz="0" w:space="0" w:color="auto"/>
            <w:bottom w:val="none" w:sz="0" w:space="0" w:color="auto"/>
            <w:right w:val="none" w:sz="0" w:space="0" w:color="auto"/>
          </w:divBdr>
        </w:div>
        <w:div w:id="921140763">
          <w:marLeft w:val="0"/>
          <w:marRight w:val="0"/>
          <w:marTop w:val="0"/>
          <w:marBottom w:val="0"/>
          <w:divBdr>
            <w:top w:val="none" w:sz="0" w:space="0" w:color="auto"/>
            <w:left w:val="none" w:sz="0" w:space="0" w:color="auto"/>
            <w:bottom w:val="none" w:sz="0" w:space="0" w:color="auto"/>
            <w:right w:val="none" w:sz="0" w:space="0" w:color="auto"/>
          </w:divBdr>
        </w:div>
        <w:div w:id="921140782">
          <w:marLeft w:val="0"/>
          <w:marRight w:val="0"/>
          <w:marTop w:val="0"/>
          <w:marBottom w:val="0"/>
          <w:divBdr>
            <w:top w:val="none" w:sz="0" w:space="0" w:color="auto"/>
            <w:left w:val="none" w:sz="0" w:space="0" w:color="auto"/>
            <w:bottom w:val="none" w:sz="0" w:space="0" w:color="auto"/>
            <w:right w:val="none" w:sz="0" w:space="0" w:color="auto"/>
          </w:divBdr>
        </w:div>
        <w:div w:id="921140789">
          <w:marLeft w:val="0"/>
          <w:marRight w:val="0"/>
          <w:marTop w:val="0"/>
          <w:marBottom w:val="0"/>
          <w:divBdr>
            <w:top w:val="none" w:sz="0" w:space="0" w:color="auto"/>
            <w:left w:val="none" w:sz="0" w:space="0" w:color="auto"/>
            <w:bottom w:val="none" w:sz="0" w:space="0" w:color="auto"/>
            <w:right w:val="none" w:sz="0" w:space="0" w:color="auto"/>
          </w:divBdr>
        </w:div>
        <w:div w:id="921140808">
          <w:marLeft w:val="0"/>
          <w:marRight w:val="0"/>
          <w:marTop w:val="0"/>
          <w:marBottom w:val="0"/>
          <w:divBdr>
            <w:top w:val="none" w:sz="0" w:space="0" w:color="auto"/>
            <w:left w:val="none" w:sz="0" w:space="0" w:color="auto"/>
            <w:bottom w:val="none" w:sz="0" w:space="0" w:color="auto"/>
            <w:right w:val="none" w:sz="0" w:space="0" w:color="auto"/>
          </w:divBdr>
        </w:div>
        <w:div w:id="921140814">
          <w:marLeft w:val="0"/>
          <w:marRight w:val="0"/>
          <w:marTop w:val="0"/>
          <w:marBottom w:val="0"/>
          <w:divBdr>
            <w:top w:val="none" w:sz="0" w:space="0" w:color="auto"/>
            <w:left w:val="none" w:sz="0" w:space="0" w:color="auto"/>
            <w:bottom w:val="none" w:sz="0" w:space="0" w:color="auto"/>
            <w:right w:val="none" w:sz="0" w:space="0" w:color="auto"/>
          </w:divBdr>
        </w:div>
        <w:div w:id="921140824">
          <w:marLeft w:val="0"/>
          <w:marRight w:val="0"/>
          <w:marTop w:val="0"/>
          <w:marBottom w:val="0"/>
          <w:divBdr>
            <w:top w:val="none" w:sz="0" w:space="0" w:color="auto"/>
            <w:left w:val="none" w:sz="0" w:space="0" w:color="auto"/>
            <w:bottom w:val="none" w:sz="0" w:space="0" w:color="auto"/>
            <w:right w:val="none" w:sz="0" w:space="0" w:color="auto"/>
          </w:divBdr>
        </w:div>
        <w:div w:id="921140827">
          <w:marLeft w:val="0"/>
          <w:marRight w:val="0"/>
          <w:marTop w:val="0"/>
          <w:marBottom w:val="0"/>
          <w:divBdr>
            <w:top w:val="none" w:sz="0" w:space="0" w:color="auto"/>
            <w:left w:val="none" w:sz="0" w:space="0" w:color="auto"/>
            <w:bottom w:val="none" w:sz="0" w:space="0" w:color="auto"/>
            <w:right w:val="none" w:sz="0" w:space="0" w:color="auto"/>
          </w:divBdr>
        </w:div>
      </w:divsChild>
    </w:div>
    <w:div w:id="921140728">
      <w:marLeft w:val="0"/>
      <w:marRight w:val="0"/>
      <w:marTop w:val="0"/>
      <w:marBottom w:val="0"/>
      <w:divBdr>
        <w:top w:val="none" w:sz="0" w:space="0" w:color="auto"/>
        <w:left w:val="none" w:sz="0" w:space="0" w:color="auto"/>
        <w:bottom w:val="none" w:sz="0" w:space="0" w:color="auto"/>
        <w:right w:val="none" w:sz="0" w:space="0" w:color="auto"/>
      </w:divBdr>
    </w:div>
    <w:div w:id="921140729">
      <w:marLeft w:val="0"/>
      <w:marRight w:val="0"/>
      <w:marTop w:val="0"/>
      <w:marBottom w:val="0"/>
      <w:divBdr>
        <w:top w:val="none" w:sz="0" w:space="0" w:color="auto"/>
        <w:left w:val="none" w:sz="0" w:space="0" w:color="auto"/>
        <w:bottom w:val="none" w:sz="0" w:space="0" w:color="auto"/>
        <w:right w:val="none" w:sz="0" w:space="0" w:color="auto"/>
      </w:divBdr>
      <w:divsChild>
        <w:div w:id="921140703">
          <w:marLeft w:val="0"/>
          <w:marRight w:val="0"/>
          <w:marTop w:val="0"/>
          <w:marBottom w:val="0"/>
          <w:divBdr>
            <w:top w:val="none" w:sz="0" w:space="0" w:color="auto"/>
            <w:left w:val="none" w:sz="0" w:space="0" w:color="auto"/>
            <w:bottom w:val="none" w:sz="0" w:space="0" w:color="auto"/>
            <w:right w:val="none" w:sz="0" w:space="0" w:color="auto"/>
          </w:divBdr>
        </w:div>
        <w:div w:id="921140727">
          <w:marLeft w:val="0"/>
          <w:marRight w:val="0"/>
          <w:marTop w:val="0"/>
          <w:marBottom w:val="0"/>
          <w:divBdr>
            <w:top w:val="none" w:sz="0" w:space="0" w:color="auto"/>
            <w:left w:val="none" w:sz="0" w:space="0" w:color="auto"/>
            <w:bottom w:val="none" w:sz="0" w:space="0" w:color="auto"/>
            <w:right w:val="none" w:sz="0" w:space="0" w:color="auto"/>
          </w:divBdr>
        </w:div>
        <w:div w:id="921140773">
          <w:marLeft w:val="0"/>
          <w:marRight w:val="0"/>
          <w:marTop w:val="0"/>
          <w:marBottom w:val="0"/>
          <w:divBdr>
            <w:top w:val="none" w:sz="0" w:space="0" w:color="auto"/>
            <w:left w:val="none" w:sz="0" w:space="0" w:color="auto"/>
            <w:bottom w:val="none" w:sz="0" w:space="0" w:color="auto"/>
            <w:right w:val="none" w:sz="0" w:space="0" w:color="auto"/>
          </w:divBdr>
        </w:div>
        <w:div w:id="921140779">
          <w:marLeft w:val="0"/>
          <w:marRight w:val="0"/>
          <w:marTop w:val="0"/>
          <w:marBottom w:val="0"/>
          <w:divBdr>
            <w:top w:val="none" w:sz="0" w:space="0" w:color="auto"/>
            <w:left w:val="none" w:sz="0" w:space="0" w:color="auto"/>
            <w:bottom w:val="none" w:sz="0" w:space="0" w:color="auto"/>
            <w:right w:val="none" w:sz="0" w:space="0" w:color="auto"/>
          </w:divBdr>
        </w:div>
        <w:div w:id="921140792">
          <w:marLeft w:val="0"/>
          <w:marRight w:val="0"/>
          <w:marTop w:val="0"/>
          <w:marBottom w:val="0"/>
          <w:divBdr>
            <w:top w:val="none" w:sz="0" w:space="0" w:color="auto"/>
            <w:left w:val="none" w:sz="0" w:space="0" w:color="auto"/>
            <w:bottom w:val="none" w:sz="0" w:space="0" w:color="auto"/>
            <w:right w:val="none" w:sz="0" w:space="0" w:color="auto"/>
          </w:divBdr>
        </w:div>
        <w:div w:id="921140794">
          <w:marLeft w:val="0"/>
          <w:marRight w:val="0"/>
          <w:marTop w:val="0"/>
          <w:marBottom w:val="0"/>
          <w:divBdr>
            <w:top w:val="none" w:sz="0" w:space="0" w:color="auto"/>
            <w:left w:val="none" w:sz="0" w:space="0" w:color="auto"/>
            <w:bottom w:val="none" w:sz="0" w:space="0" w:color="auto"/>
            <w:right w:val="none" w:sz="0" w:space="0" w:color="auto"/>
          </w:divBdr>
        </w:div>
      </w:divsChild>
    </w:div>
    <w:div w:id="921140732">
      <w:marLeft w:val="0"/>
      <w:marRight w:val="0"/>
      <w:marTop w:val="0"/>
      <w:marBottom w:val="0"/>
      <w:divBdr>
        <w:top w:val="none" w:sz="0" w:space="0" w:color="auto"/>
        <w:left w:val="none" w:sz="0" w:space="0" w:color="auto"/>
        <w:bottom w:val="none" w:sz="0" w:space="0" w:color="auto"/>
        <w:right w:val="none" w:sz="0" w:space="0" w:color="auto"/>
      </w:divBdr>
      <w:divsChild>
        <w:div w:id="921140834">
          <w:marLeft w:val="0"/>
          <w:marRight w:val="0"/>
          <w:marTop w:val="0"/>
          <w:marBottom w:val="0"/>
          <w:divBdr>
            <w:top w:val="none" w:sz="0" w:space="0" w:color="auto"/>
            <w:left w:val="none" w:sz="0" w:space="0" w:color="auto"/>
            <w:bottom w:val="none" w:sz="0" w:space="0" w:color="auto"/>
            <w:right w:val="none" w:sz="0" w:space="0" w:color="auto"/>
          </w:divBdr>
          <w:divsChild>
            <w:div w:id="921140698">
              <w:marLeft w:val="0"/>
              <w:marRight w:val="0"/>
              <w:marTop w:val="0"/>
              <w:marBottom w:val="0"/>
              <w:divBdr>
                <w:top w:val="none" w:sz="0" w:space="0" w:color="auto"/>
                <w:left w:val="none" w:sz="0" w:space="0" w:color="auto"/>
                <w:bottom w:val="none" w:sz="0" w:space="0" w:color="auto"/>
                <w:right w:val="none" w:sz="0" w:space="0" w:color="auto"/>
              </w:divBdr>
            </w:div>
            <w:div w:id="92114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140733">
      <w:marLeft w:val="0"/>
      <w:marRight w:val="0"/>
      <w:marTop w:val="0"/>
      <w:marBottom w:val="0"/>
      <w:divBdr>
        <w:top w:val="none" w:sz="0" w:space="0" w:color="auto"/>
        <w:left w:val="none" w:sz="0" w:space="0" w:color="auto"/>
        <w:bottom w:val="none" w:sz="0" w:space="0" w:color="auto"/>
        <w:right w:val="none" w:sz="0" w:space="0" w:color="auto"/>
      </w:divBdr>
    </w:div>
    <w:div w:id="921140741">
      <w:marLeft w:val="0"/>
      <w:marRight w:val="0"/>
      <w:marTop w:val="0"/>
      <w:marBottom w:val="0"/>
      <w:divBdr>
        <w:top w:val="none" w:sz="0" w:space="0" w:color="auto"/>
        <w:left w:val="none" w:sz="0" w:space="0" w:color="auto"/>
        <w:bottom w:val="none" w:sz="0" w:space="0" w:color="auto"/>
        <w:right w:val="none" w:sz="0" w:space="0" w:color="auto"/>
      </w:divBdr>
      <w:divsChild>
        <w:div w:id="921140707">
          <w:marLeft w:val="0"/>
          <w:marRight w:val="0"/>
          <w:marTop w:val="0"/>
          <w:marBottom w:val="0"/>
          <w:divBdr>
            <w:top w:val="none" w:sz="0" w:space="0" w:color="auto"/>
            <w:left w:val="none" w:sz="0" w:space="0" w:color="auto"/>
            <w:bottom w:val="none" w:sz="0" w:space="0" w:color="auto"/>
            <w:right w:val="none" w:sz="0" w:space="0" w:color="auto"/>
          </w:divBdr>
        </w:div>
        <w:div w:id="921140720">
          <w:marLeft w:val="0"/>
          <w:marRight w:val="0"/>
          <w:marTop w:val="0"/>
          <w:marBottom w:val="0"/>
          <w:divBdr>
            <w:top w:val="none" w:sz="0" w:space="0" w:color="auto"/>
            <w:left w:val="none" w:sz="0" w:space="0" w:color="auto"/>
            <w:bottom w:val="none" w:sz="0" w:space="0" w:color="auto"/>
            <w:right w:val="none" w:sz="0" w:space="0" w:color="auto"/>
          </w:divBdr>
        </w:div>
        <w:div w:id="921140734">
          <w:marLeft w:val="0"/>
          <w:marRight w:val="0"/>
          <w:marTop w:val="0"/>
          <w:marBottom w:val="0"/>
          <w:divBdr>
            <w:top w:val="none" w:sz="0" w:space="0" w:color="auto"/>
            <w:left w:val="none" w:sz="0" w:space="0" w:color="auto"/>
            <w:bottom w:val="none" w:sz="0" w:space="0" w:color="auto"/>
            <w:right w:val="none" w:sz="0" w:space="0" w:color="auto"/>
          </w:divBdr>
        </w:div>
        <w:div w:id="921140739">
          <w:marLeft w:val="0"/>
          <w:marRight w:val="0"/>
          <w:marTop w:val="0"/>
          <w:marBottom w:val="0"/>
          <w:divBdr>
            <w:top w:val="none" w:sz="0" w:space="0" w:color="auto"/>
            <w:left w:val="none" w:sz="0" w:space="0" w:color="auto"/>
            <w:bottom w:val="none" w:sz="0" w:space="0" w:color="auto"/>
            <w:right w:val="none" w:sz="0" w:space="0" w:color="auto"/>
          </w:divBdr>
        </w:div>
        <w:div w:id="921140743">
          <w:marLeft w:val="0"/>
          <w:marRight w:val="0"/>
          <w:marTop w:val="0"/>
          <w:marBottom w:val="0"/>
          <w:divBdr>
            <w:top w:val="none" w:sz="0" w:space="0" w:color="auto"/>
            <w:left w:val="none" w:sz="0" w:space="0" w:color="auto"/>
            <w:bottom w:val="none" w:sz="0" w:space="0" w:color="auto"/>
            <w:right w:val="none" w:sz="0" w:space="0" w:color="auto"/>
          </w:divBdr>
        </w:div>
        <w:div w:id="921140771">
          <w:marLeft w:val="0"/>
          <w:marRight w:val="0"/>
          <w:marTop w:val="0"/>
          <w:marBottom w:val="0"/>
          <w:divBdr>
            <w:top w:val="none" w:sz="0" w:space="0" w:color="auto"/>
            <w:left w:val="none" w:sz="0" w:space="0" w:color="auto"/>
            <w:bottom w:val="none" w:sz="0" w:space="0" w:color="auto"/>
            <w:right w:val="none" w:sz="0" w:space="0" w:color="auto"/>
          </w:divBdr>
        </w:div>
        <w:div w:id="921140775">
          <w:marLeft w:val="0"/>
          <w:marRight w:val="0"/>
          <w:marTop w:val="0"/>
          <w:marBottom w:val="0"/>
          <w:divBdr>
            <w:top w:val="none" w:sz="0" w:space="0" w:color="auto"/>
            <w:left w:val="none" w:sz="0" w:space="0" w:color="auto"/>
            <w:bottom w:val="none" w:sz="0" w:space="0" w:color="auto"/>
            <w:right w:val="none" w:sz="0" w:space="0" w:color="auto"/>
          </w:divBdr>
        </w:div>
        <w:div w:id="921140781">
          <w:marLeft w:val="0"/>
          <w:marRight w:val="0"/>
          <w:marTop w:val="0"/>
          <w:marBottom w:val="0"/>
          <w:divBdr>
            <w:top w:val="none" w:sz="0" w:space="0" w:color="auto"/>
            <w:left w:val="none" w:sz="0" w:space="0" w:color="auto"/>
            <w:bottom w:val="none" w:sz="0" w:space="0" w:color="auto"/>
            <w:right w:val="none" w:sz="0" w:space="0" w:color="auto"/>
          </w:divBdr>
        </w:div>
        <w:div w:id="921140796">
          <w:marLeft w:val="0"/>
          <w:marRight w:val="0"/>
          <w:marTop w:val="0"/>
          <w:marBottom w:val="0"/>
          <w:divBdr>
            <w:top w:val="none" w:sz="0" w:space="0" w:color="auto"/>
            <w:left w:val="none" w:sz="0" w:space="0" w:color="auto"/>
            <w:bottom w:val="none" w:sz="0" w:space="0" w:color="auto"/>
            <w:right w:val="none" w:sz="0" w:space="0" w:color="auto"/>
          </w:divBdr>
        </w:div>
      </w:divsChild>
    </w:div>
    <w:div w:id="921140742">
      <w:marLeft w:val="0"/>
      <w:marRight w:val="0"/>
      <w:marTop w:val="0"/>
      <w:marBottom w:val="0"/>
      <w:divBdr>
        <w:top w:val="none" w:sz="0" w:space="0" w:color="auto"/>
        <w:left w:val="none" w:sz="0" w:space="0" w:color="auto"/>
        <w:bottom w:val="none" w:sz="0" w:space="0" w:color="auto"/>
        <w:right w:val="none" w:sz="0" w:space="0" w:color="auto"/>
      </w:divBdr>
      <w:divsChild>
        <w:div w:id="921140718">
          <w:marLeft w:val="0"/>
          <w:marRight w:val="0"/>
          <w:marTop w:val="0"/>
          <w:marBottom w:val="0"/>
          <w:divBdr>
            <w:top w:val="none" w:sz="0" w:space="0" w:color="auto"/>
            <w:left w:val="none" w:sz="0" w:space="0" w:color="auto"/>
            <w:bottom w:val="none" w:sz="0" w:space="0" w:color="auto"/>
            <w:right w:val="none" w:sz="0" w:space="0" w:color="auto"/>
          </w:divBdr>
        </w:div>
        <w:div w:id="921140747">
          <w:marLeft w:val="0"/>
          <w:marRight w:val="0"/>
          <w:marTop w:val="0"/>
          <w:marBottom w:val="0"/>
          <w:divBdr>
            <w:top w:val="none" w:sz="0" w:space="0" w:color="auto"/>
            <w:left w:val="none" w:sz="0" w:space="0" w:color="auto"/>
            <w:bottom w:val="none" w:sz="0" w:space="0" w:color="auto"/>
            <w:right w:val="none" w:sz="0" w:space="0" w:color="auto"/>
          </w:divBdr>
        </w:div>
        <w:div w:id="921140760">
          <w:marLeft w:val="0"/>
          <w:marRight w:val="0"/>
          <w:marTop w:val="0"/>
          <w:marBottom w:val="0"/>
          <w:divBdr>
            <w:top w:val="none" w:sz="0" w:space="0" w:color="auto"/>
            <w:left w:val="none" w:sz="0" w:space="0" w:color="auto"/>
            <w:bottom w:val="none" w:sz="0" w:space="0" w:color="auto"/>
            <w:right w:val="none" w:sz="0" w:space="0" w:color="auto"/>
          </w:divBdr>
        </w:div>
        <w:div w:id="921140778">
          <w:marLeft w:val="0"/>
          <w:marRight w:val="0"/>
          <w:marTop w:val="0"/>
          <w:marBottom w:val="0"/>
          <w:divBdr>
            <w:top w:val="none" w:sz="0" w:space="0" w:color="auto"/>
            <w:left w:val="none" w:sz="0" w:space="0" w:color="auto"/>
            <w:bottom w:val="none" w:sz="0" w:space="0" w:color="auto"/>
            <w:right w:val="none" w:sz="0" w:space="0" w:color="auto"/>
          </w:divBdr>
        </w:div>
        <w:div w:id="921140802">
          <w:marLeft w:val="0"/>
          <w:marRight w:val="0"/>
          <w:marTop w:val="0"/>
          <w:marBottom w:val="0"/>
          <w:divBdr>
            <w:top w:val="none" w:sz="0" w:space="0" w:color="auto"/>
            <w:left w:val="none" w:sz="0" w:space="0" w:color="auto"/>
            <w:bottom w:val="none" w:sz="0" w:space="0" w:color="auto"/>
            <w:right w:val="none" w:sz="0" w:space="0" w:color="auto"/>
          </w:divBdr>
        </w:div>
        <w:div w:id="921140804">
          <w:marLeft w:val="0"/>
          <w:marRight w:val="0"/>
          <w:marTop w:val="0"/>
          <w:marBottom w:val="0"/>
          <w:divBdr>
            <w:top w:val="none" w:sz="0" w:space="0" w:color="auto"/>
            <w:left w:val="none" w:sz="0" w:space="0" w:color="auto"/>
            <w:bottom w:val="none" w:sz="0" w:space="0" w:color="auto"/>
            <w:right w:val="none" w:sz="0" w:space="0" w:color="auto"/>
          </w:divBdr>
        </w:div>
        <w:div w:id="921140822">
          <w:marLeft w:val="0"/>
          <w:marRight w:val="0"/>
          <w:marTop w:val="0"/>
          <w:marBottom w:val="0"/>
          <w:divBdr>
            <w:top w:val="none" w:sz="0" w:space="0" w:color="auto"/>
            <w:left w:val="none" w:sz="0" w:space="0" w:color="auto"/>
            <w:bottom w:val="none" w:sz="0" w:space="0" w:color="auto"/>
            <w:right w:val="none" w:sz="0" w:space="0" w:color="auto"/>
          </w:divBdr>
        </w:div>
        <w:div w:id="921140823">
          <w:marLeft w:val="0"/>
          <w:marRight w:val="0"/>
          <w:marTop w:val="0"/>
          <w:marBottom w:val="0"/>
          <w:divBdr>
            <w:top w:val="none" w:sz="0" w:space="0" w:color="auto"/>
            <w:left w:val="none" w:sz="0" w:space="0" w:color="auto"/>
            <w:bottom w:val="none" w:sz="0" w:space="0" w:color="auto"/>
            <w:right w:val="none" w:sz="0" w:space="0" w:color="auto"/>
          </w:divBdr>
        </w:div>
        <w:div w:id="921140833">
          <w:marLeft w:val="0"/>
          <w:marRight w:val="0"/>
          <w:marTop w:val="0"/>
          <w:marBottom w:val="0"/>
          <w:divBdr>
            <w:top w:val="none" w:sz="0" w:space="0" w:color="auto"/>
            <w:left w:val="none" w:sz="0" w:space="0" w:color="auto"/>
            <w:bottom w:val="none" w:sz="0" w:space="0" w:color="auto"/>
            <w:right w:val="none" w:sz="0" w:space="0" w:color="auto"/>
          </w:divBdr>
        </w:div>
      </w:divsChild>
    </w:div>
    <w:div w:id="921140745">
      <w:marLeft w:val="0"/>
      <w:marRight w:val="0"/>
      <w:marTop w:val="0"/>
      <w:marBottom w:val="0"/>
      <w:divBdr>
        <w:top w:val="none" w:sz="0" w:space="0" w:color="auto"/>
        <w:left w:val="none" w:sz="0" w:space="0" w:color="auto"/>
        <w:bottom w:val="none" w:sz="0" w:space="0" w:color="auto"/>
        <w:right w:val="none" w:sz="0" w:space="0" w:color="auto"/>
      </w:divBdr>
    </w:div>
    <w:div w:id="921140750">
      <w:marLeft w:val="0"/>
      <w:marRight w:val="0"/>
      <w:marTop w:val="0"/>
      <w:marBottom w:val="0"/>
      <w:divBdr>
        <w:top w:val="none" w:sz="0" w:space="0" w:color="auto"/>
        <w:left w:val="none" w:sz="0" w:space="0" w:color="auto"/>
        <w:bottom w:val="none" w:sz="0" w:space="0" w:color="auto"/>
        <w:right w:val="none" w:sz="0" w:space="0" w:color="auto"/>
      </w:divBdr>
      <w:divsChild>
        <w:div w:id="921140751">
          <w:marLeft w:val="0"/>
          <w:marRight w:val="0"/>
          <w:marTop w:val="0"/>
          <w:marBottom w:val="0"/>
          <w:divBdr>
            <w:top w:val="none" w:sz="0" w:space="0" w:color="auto"/>
            <w:left w:val="none" w:sz="0" w:space="0" w:color="auto"/>
            <w:bottom w:val="none" w:sz="0" w:space="0" w:color="auto"/>
            <w:right w:val="none" w:sz="0" w:space="0" w:color="auto"/>
          </w:divBdr>
        </w:div>
        <w:div w:id="921140825">
          <w:marLeft w:val="0"/>
          <w:marRight w:val="0"/>
          <w:marTop w:val="0"/>
          <w:marBottom w:val="0"/>
          <w:divBdr>
            <w:top w:val="none" w:sz="0" w:space="0" w:color="auto"/>
            <w:left w:val="none" w:sz="0" w:space="0" w:color="auto"/>
            <w:bottom w:val="none" w:sz="0" w:space="0" w:color="auto"/>
            <w:right w:val="none" w:sz="0" w:space="0" w:color="auto"/>
          </w:divBdr>
        </w:div>
      </w:divsChild>
    </w:div>
    <w:div w:id="921140752">
      <w:marLeft w:val="0"/>
      <w:marRight w:val="0"/>
      <w:marTop w:val="0"/>
      <w:marBottom w:val="0"/>
      <w:divBdr>
        <w:top w:val="none" w:sz="0" w:space="0" w:color="auto"/>
        <w:left w:val="none" w:sz="0" w:space="0" w:color="auto"/>
        <w:bottom w:val="none" w:sz="0" w:space="0" w:color="auto"/>
        <w:right w:val="none" w:sz="0" w:space="0" w:color="auto"/>
      </w:divBdr>
      <w:divsChild>
        <w:div w:id="921140722">
          <w:marLeft w:val="0"/>
          <w:marRight w:val="0"/>
          <w:marTop w:val="0"/>
          <w:marBottom w:val="0"/>
          <w:divBdr>
            <w:top w:val="none" w:sz="0" w:space="0" w:color="auto"/>
            <w:left w:val="none" w:sz="0" w:space="0" w:color="auto"/>
            <w:bottom w:val="none" w:sz="0" w:space="0" w:color="auto"/>
            <w:right w:val="none" w:sz="0" w:space="0" w:color="auto"/>
          </w:divBdr>
        </w:div>
        <w:div w:id="921140756">
          <w:marLeft w:val="0"/>
          <w:marRight w:val="0"/>
          <w:marTop w:val="0"/>
          <w:marBottom w:val="0"/>
          <w:divBdr>
            <w:top w:val="none" w:sz="0" w:space="0" w:color="auto"/>
            <w:left w:val="none" w:sz="0" w:space="0" w:color="auto"/>
            <w:bottom w:val="none" w:sz="0" w:space="0" w:color="auto"/>
            <w:right w:val="none" w:sz="0" w:space="0" w:color="auto"/>
          </w:divBdr>
        </w:div>
        <w:div w:id="921140784">
          <w:marLeft w:val="0"/>
          <w:marRight w:val="0"/>
          <w:marTop w:val="0"/>
          <w:marBottom w:val="0"/>
          <w:divBdr>
            <w:top w:val="none" w:sz="0" w:space="0" w:color="auto"/>
            <w:left w:val="none" w:sz="0" w:space="0" w:color="auto"/>
            <w:bottom w:val="none" w:sz="0" w:space="0" w:color="auto"/>
            <w:right w:val="none" w:sz="0" w:space="0" w:color="auto"/>
          </w:divBdr>
        </w:div>
        <w:div w:id="921140801">
          <w:marLeft w:val="0"/>
          <w:marRight w:val="0"/>
          <w:marTop w:val="0"/>
          <w:marBottom w:val="0"/>
          <w:divBdr>
            <w:top w:val="none" w:sz="0" w:space="0" w:color="auto"/>
            <w:left w:val="none" w:sz="0" w:space="0" w:color="auto"/>
            <w:bottom w:val="none" w:sz="0" w:space="0" w:color="auto"/>
            <w:right w:val="none" w:sz="0" w:space="0" w:color="auto"/>
          </w:divBdr>
        </w:div>
      </w:divsChild>
    </w:div>
    <w:div w:id="921140755">
      <w:marLeft w:val="0"/>
      <w:marRight w:val="0"/>
      <w:marTop w:val="0"/>
      <w:marBottom w:val="0"/>
      <w:divBdr>
        <w:top w:val="none" w:sz="0" w:space="0" w:color="auto"/>
        <w:left w:val="none" w:sz="0" w:space="0" w:color="auto"/>
        <w:bottom w:val="none" w:sz="0" w:space="0" w:color="auto"/>
        <w:right w:val="none" w:sz="0" w:space="0" w:color="auto"/>
      </w:divBdr>
      <w:divsChild>
        <w:div w:id="921140759">
          <w:marLeft w:val="0"/>
          <w:marRight w:val="0"/>
          <w:marTop w:val="0"/>
          <w:marBottom w:val="0"/>
          <w:divBdr>
            <w:top w:val="none" w:sz="0" w:space="0" w:color="auto"/>
            <w:left w:val="none" w:sz="0" w:space="0" w:color="auto"/>
            <w:bottom w:val="none" w:sz="0" w:space="0" w:color="auto"/>
            <w:right w:val="none" w:sz="0" w:space="0" w:color="auto"/>
          </w:divBdr>
        </w:div>
        <w:div w:id="921140768">
          <w:marLeft w:val="0"/>
          <w:marRight w:val="0"/>
          <w:marTop w:val="0"/>
          <w:marBottom w:val="0"/>
          <w:divBdr>
            <w:top w:val="none" w:sz="0" w:space="0" w:color="auto"/>
            <w:left w:val="none" w:sz="0" w:space="0" w:color="auto"/>
            <w:bottom w:val="none" w:sz="0" w:space="0" w:color="auto"/>
            <w:right w:val="none" w:sz="0" w:space="0" w:color="auto"/>
          </w:divBdr>
        </w:div>
        <w:div w:id="921140774">
          <w:marLeft w:val="0"/>
          <w:marRight w:val="0"/>
          <w:marTop w:val="0"/>
          <w:marBottom w:val="0"/>
          <w:divBdr>
            <w:top w:val="none" w:sz="0" w:space="0" w:color="auto"/>
            <w:left w:val="none" w:sz="0" w:space="0" w:color="auto"/>
            <w:bottom w:val="none" w:sz="0" w:space="0" w:color="auto"/>
            <w:right w:val="none" w:sz="0" w:space="0" w:color="auto"/>
          </w:divBdr>
        </w:div>
        <w:div w:id="921140777">
          <w:marLeft w:val="0"/>
          <w:marRight w:val="0"/>
          <w:marTop w:val="0"/>
          <w:marBottom w:val="0"/>
          <w:divBdr>
            <w:top w:val="none" w:sz="0" w:space="0" w:color="auto"/>
            <w:left w:val="none" w:sz="0" w:space="0" w:color="auto"/>
            <w:bottom w:val="none" w:sz="0" w:space="0" w:color="auto"/>
            <w:right w:val="none" w:sz="0" w:space="0" w:color="auto"/>
          </w:divBdr>
        </w:div>
        <w:div w:id="921140798">
          <w:marLeft w:val="0"/>
          <w:marRight w:val="0"/>
          <w:marTop w:val="0"/>
          <w:marBottom w:val="0"/>
          <w:divBdr>
            <w:top w:val="none" w:sz="0" w:space="0" w:color="auto"/>
            <w:left w:val="none" w:sz="0" w:space="0" w:color="auto"/>
            <w:bottom w:val="none" w:sz="0" w:space="0" w:color="auto"/>
            <w:right w:val="none" w:sz="0" w:space="0" w:color="auto"/>
          </w:divBdr>
        </w:div>
        <w:div w:id="921140809">
          <w:marLeft w:val="0"/>
          <w:marRight w:val="0"/>
          <w:marTop w:val="0"/>
          <w:marBottom w:val="0"/>
          <w:divBdr>
            <w:top w:val="none" w:sz="0" w:space="0" w:color="auto"/>
            <w:left w:val="none" w:sz="0" w:space="0" w:color="auto"/>
            <w:bottom w:val="none" w:sz="0" w:space="0" w:color="auto"/>
            <w:right w:val="none" w:sz="0" w:space="0" w:color="auto"/>
          </w:divBdr>
        </w:div>
        <w:div w:id="921140828">
          <w:marLeft w:val="0"/>
          <w:marRight w:val="0"/>
          <w:marTop w:val="0"/>
          <w:marBottom w:val="0"/>
          <w:divBdr>
            <w:top w:val="none" w:sz="0" w:space="0" w:color="auto"/>
            <w:left w:val="none" w:sz="0" w:space="0" w:color="auto"/>
            <w:bottom w:val="none" w:sz="0" w:space="0" w:color="auto"/>
            <w:right w:val="none" w:sz="0" w:space="0" w:color="auto"/>
          </w:divBdr>
        </w:div>
      </w:divsChild>
    </w:div>
    <w:div w:id="921140766">
      <w:marLeft w:val="0"/>
      <w:marRight w:val="0"/>
      <w:marTop w:val="0"/>
      <w:marBottom w:val="0"/>
      <w:divBdr>
        <w:top w:val="none" w:sz="0" w:space="0" w:color="auto"/>
        <w:left w:val="none" w:sz="0" w:space="0" w:color="auto"/>
        <w:bottom w:val="none" w:sz="0" w:space="0" w:color="auto"/>
        <w:right w:val="none" w:sz="0" w:space="0" w:color="auto"/>
      </w:divBdr>
      <w:divsChild>
        <w:div w:id="921140705">
          <w:marLeft w:val="0"/>
          <w:marRight w:val="0"/>
          <w:marTop w:val="0"/>
          <w:marBottom w:val="0"/>
          <w:divBdr>
            <w:top w:val="none" w:sz="0" w:space="0" w:color="auto"/>
            <w:left w:val="none" w:sz="0" w:space="0" w:color="auto"/>
            <w:bottom w:val="none" w:sz="0" w:space="0" w:color="auto"/>
            <w:right w:val="none" w:sz="0" w:space="0" w:color="auto"/>
          </w:divBdr>
        </w:div>
        <w:div w:id="921140735">
          <w:marLeft w:val="0"/>
          <w:marRight w:val="0"/>
          <w:marTop w:val="0"/>
          <w:marBottom w:val="0"/>
          <w:divBdr>
            <w:top w:val="none" w:sz="0" w:space="0" w:color="auto"/>
            <w:left w:val="none" w:sz="0" w:space="0" w:color="auto"/>
            <w:bottom w:val="none" w:sz="0" w:space="0" w:color="auto"/>
            <w:right w:val="none" w:sz="0" w:space="0" w:color="auto"/>
          </w:divBdr>
        </w:div>
        <w:div w:id="921140736">
          <w:marLeft w:val="0"/>
          <w:marRight w:val="0"/>
          <w:marTop w:val="0"/>
          <w:marBottom w:val="0"/>
          <w:divBdr>
            <w:top w:val="none" w:sz="0" w:space="0" w:color="auto"/>
            <w:left w:val="none" w:sz="0" w:space="0" w:color="auto"/>
            <w:bottom w:val="none" w:sz="0" w:space="0" w:color="auto"/>
            <w:right w:val="none" w:sz="0" w:space="0" w:color="auto"/>
          </w:divBdr>
        </w:div>
        <w:div w:id="921140815">
          <w:marLeft w:val="0"/>
          <w:marRight w:val="0"/>
          <w:marTop w:val="0"/>
          <w:marBottom w:val="0"/>
          <w:divBdr>
            <w:top w:val="none" w:sz="0" w:space="0" w:color="auto"/>
            <w:left w:val="none" w:sz="0" w:space="0" w:color="auto"/>
            <w:bottom w:val="none" w:sz="0" w:space="0" w:color="auto"/>
            <w:right w:val="none" w:sz="0" w:space="0" w:color="auto"/>
          </w:divBdr>
        </w:div>
        <w:div w:id="921140819">
          <w:marLeft w:val="0"/>
          <w:marRight w:val="0"/>
          <w:marTop w:val="0"/>
          <w:marBottom w:val="0"/>
          <w:divBdr>
            <w:top w:val="none" w:sz="0" w:space="0" w:color="auto"/>
            <w:left w:val="none" w:sz="0" w:space="0" w:color="auto"/>
            <w:bottom w:val="none" w:sz="0" w:space="0" w:color="auto"/>
            <w:right w:val="none" w:sz="0" w:space="0" w:color="auto"/>
          </w:divBdr>
        </w:div>
        <w:div w:id="921140832">
          <w:marLeft w:val="0"/>
          <w:marRight w:val="0"/>
          <w:marTop w:val="0"/>
          <w:marBottom w:val="0"/>
          <w:divBdr>
            <w:top w:val="none" w:sz="0" w:space="0" w:color="auto"/>
            <w:left w:val="none" w:sz="0" w:space="0" w:color="auto"/>
            <w:bottom w:val="none" w:sz="0" w:space="0" w:color="auto"/>
            <w:right w:val="none" w:sz="0" w:space="0" w:color="auto"/>
          </w:divBdr>
        </w:div>
      </w:divsChild>
    </w:div>
    <w:div w:id="921140783">
      <w:marLeft w:val="0"/>
      <w:marRight w:val="0"/>
      <w:marTop w:val="0"/>
      <w:marBottom w:val="0"/>
      <w:divBdr>
        <w:top w:val="none" w:sz="0" w:space="0" w:color="auto"/>
        <w:left w:val="none" w:sz="0" w:space="0" w:color="auto"/>
        <w:bottom w:val="none" w:sz="0" w:space="0" w:color="auto"/>
        <w:right w:val="none" w:sz="0" w:space="0" w:color="auto"/>
      </w:divBdr>
      <w:divsChild>
        <w:div w:id="921140714">
          <w:marLeft w:val="0"/>
          <w:marRight w:val="0"/>
          <w:marTop w:val="0"/>
          <w:marBottom w:val="0"/>
          <w:divBdr>
            <w:top w:val="none" w:sz="0" w:space="0" w:color="auto"/>
            <w:left w:val="none" w:sz="0" w:space="0" w:color="auto"/>
            <w:bottom w:val="none" w:sz="0" w:space="0" w:color="auto"/>
            <w:right w:val="none" w:sz="0" w:space="0" w:color="auto"/>
          </w:divBdr>
        </w:div>
        <w:div w:id="921140758">
          <w:marLeft w:val="0"/>
          <w:marRight w:val="0"/>
          <w:marTop w:val="0"/>
          <w:marBottom w:val="0"/>
          <w:divBdr>
            <w:top w:val="none" w:sz="0" w:space="0" w:color="auto"/>
            <w:left w:val="none" w:sz="0" w:space="0" w:color="auto"/>
            <w:bottom w:val="none" w:sz="0" w:space="0" w:color="auto"/>
            <w:right w:val="none" w:sz="0" w:space="0" w:color="auto"/>
          </w:divBdr>
        </w:div>
        <w:div w:id="921140793">
          <w:marLeft w:val="0"/>
          <w:marRight w:val="0"/>
          <w:marTop w:val="0"/>
          <w:marBottom w:val="0"/>
          <w:divBdr>
            <w:top w:val="none" w:sz="0" w:space="0" w:color="auto"/>
            <w:left w:val="none" w:sz="0" w:space="0" w:color="auto"/>
            <w:bottom w:val="none" w:sz="0" w:space="0" w:color="auto"/>
            <w:right w:val="none" w:sz="0" w:space="0" w:color="auto"/>
          </w:divBdr>
        </w:div>
        <w:div w:id="921140800">
          <w:marLeft w:val="0"/>
          <w:marRight w:val="0"/>
          <w:marTop w:val="0"/>
          <w:marBottom w:val="0"/>
          <w:divBdr>
            <w:top w:val="none" w:sz="0" w:space="0" w:color="auto"/>
            <w:left w:val="none" w:sz="0" w:space="0" w:color="auto"/>
            <w:bottom w:val="none" w:sz="0" w:space="0" w:color="auto"/>
            <w:right w:val="none" w:sz="0" w:space="0" w:color="auto"/>
          </w:divBdr>
        </w:div>
        <w:div w:id="921140805">
          <w:marLeft w:val="0"/>
          <w:marRight w:val="0"/>
          <w:marTop w:val="0"/>
          <w:marBottom w:val="0"/>
          <w:divBdr>
            <w:top w:val="none" w:sz="0" w:space="0" w:color="auto"/>
            <w:left w:val="none" w:sz="0" w:space="0" w:color="auto"/>
            <w:bottom w:val="none" w:sz="0" w:space="0" w:color="auto"/>
            <w:right w:val="none" w:sz="0" w:space="0" w:color="auto"/>
          </w:divBdr>
        </w:div>
        <w:div w:id="921140829">
          <w:marLeft w:val="0"/>
          <w:marRight w:val="0"/>
          <w:marTop w:val="0"/>
          <w:marBottom w:val="0"/>
          <w:divBdr>
            <w:top w:val="none" w:sz="0" w:space="0" w:color="auto"/>
            <w:left w:val="none" w:sz="0" w:space="0" w:color="auto"/>
            <w:bottom w:val="none" w:sz="0" w:space="0" w:color="auto"/>
            <w:right w:val="none" w:sz="0" w:space="0" w:color="auto"/>
          </w:divBdr>
        </w:div>
      </w:divsChild>
    </w:div>
    <w:div w:id="921140786">
      <w:marLeft w:val="0"/>
      <w:marRight w:val="0"/>
      <w:marTop w:val="0"/>
      <w:marBottom w:val="0"/>
      <w:divBdr>
        <w:top w:val="none" w:sz="0" w:space="0" w:color="auto"/>
        <w:left w:val="none" w:sz="0" w:space="0" w:color="auto"/>
        <w:bottom w:val="none" w:sz="0" w:space="0" w:color="auto"/>
        <w:right w:val="none" w:sz="0" w:space="0" w:color="auto"/>
      </w:divBdr>
      <w:divsChild>
        <w:div w:id="921140761">
          <w:marLeft w:val="0"/>
          <w:marRight w:val="0"/>
          <w:marTop w:val="0"/>
          <w:marBottom w:val="0"/>
          <w:divBdr>
            <w:top w:val="none" w:sz="0" w:space="0" w:color="auto"/>
            <w:left w:val="none" w:sz="0" w:space="0" w:color="auto"/>
            <w:bottom w:val="none" w:sz="0" w:space="0" w:color="auto"/>
            <w:right w:val="none" w:sz="0" w:space="0" w:color="auto"/>
          </w:divBdr>
        </w:div>
        <w:div w:id="921140764">
          <w:marLeft w:val="0"/>
          <w:marRight w:val="0"/>
          <w:marTop w:val="0"/>
          <w:marBottom w:val="0"/>
          <w:divBdr>
            <w:top w:val="none" w:sz="0" w:space="0" w:color="auto"/>
            <w:left w:val="none" w:sz="0" w:space="0" w:color="auto"/>
            <w:bottom w:val="none" w:sz="0" w:space="0" w:color="auto"/>
            <w:right w:val="none" w:sz="0" w:space="0" w:color="auto"/>
          </w:divBdr>
        </w:div>
        <w:div w:id="921140780">
          <w:marLeft w:val="0"/>
          <w:marRight w:val="0"/>
          <w:marTop w:val="0"/>
          <w:marBottom w:val="0"/>
          <w:divBdr>
            <w:top w:val="none" w:sz="0" w:space="0" w:color="auto"/>
            <w:left w:val="none" w:sz="0" w:space="0" w:color="auto"/>
            <w:bottom w:val="none" w:sz="0" w:space="0" w:color="auto"/>
            <w:right w:val="none" w:sz="0" w:space="0" w:color="auto"/>
          </w:divBdr>
        </w:div>
      </w:divsChild>
    </w:div>
    <w:div w:id="921140788">
      <w:marLeft w:val="0"/>
      <w:marRight w:val="0"/>
      <w:marTop w:val="0"/>
      <w:marBottom w:val="0"/>
      <w:divBdr>
        <w:top w:val="none" w:sz="0" w:space="0" w:color="auto"/>
        <w:left w:val="none" w:sz="0" w:space="0" w:color="auto"/>
        <w:bottom w:val="none" w:sz="0" w:space="0" w:color="auto"/>
        <w:right w:val="none" w:sz="0" w:space="0" w:color="auto"/>
      </w:divBdr>
      <w:divsChild>
        <w:div w:id="921140704">
          <w:marLeft w:val="0"/>
          <w:marRight w:val="0"/>
          <w:marTop w:val="0"/>
          <w:marBottom w:val="0"/>
          <w:divBdr>
            <w:top w:val="none" w:sz="0" w:space="0" w:color="auto"/>
            <w:left w:val="none" w:sz="0" w:space="0" w:color="auto"/>
            <w:bottom w:val="none" w:sz="0" w:space="0" w:color="auto"/>
            <w:right w:val="none" w:sz="0" w:space="0" w:color="auto"/>
          </w:divBdr>
        </w:div>
        <w:div w:id="921140709">
          <w:marLeft w:val="0"/>
          <w:marRight w:val="0"/>
          <w:marTop w:val="0"/>
          <w:marBottom w:val="0"/>
          <w:divBdr>
            <w:top w:val="none" w:sz="0" w:space="0" w:color="auto"/>
            <w:left w:val="none" w:sz="0" w:space="0" w:color="auto"/>
            <w:bottom w:val="none" w:sz="0" w:space="0" w:color="auto"/>
            <w:right w:val="none" w:sz="0" w:space="0" w:color="auto"/>
          </w:divBdr>
        </w:div>
        <w:div w:id="921140711">
          <w:marLeft w:val="0"/>
          <w:marRight w:val="0"/>
          <w:marTop w:val="0"/>
          <w:marBottom w:val="0"/>
          <w:divBdr>
            <w:top w:val="none" w:sz="0" w:space="0" w:color="auto"/>
            <w:left w:val="none" w:sz="0" w:space="0" w:color="auto"/>
            <w:bottom w:val="none" w:sz="0" w:space="0" w:color="auto"/>
            <w:right w:val="none" w:sz="0" w:space="0" w:color="auto"/>
          </w:divBdr>
        </w:div>
        <w:div w:id="921140721">
          <w:marLeft w:val="0"/>
          <w:marRight w:val="0"/>
          <w:marTop w:val="0"/>
          <w:marBottom w:val="0"/>
          <w:divBdr>
            <w:top w:val="none" w:sz="0" w:space="0" w:color="auto"/>
            <w:left w:val="none" w:sz="0" w:space="0" w:color="auto"/>
            <w:bottom w:val="none" w:sz="0" w:space="0" w:color="auto"/>
            <w:right w:val="none" w:sz="0" w:space="0" w:color="auto"/>
          </w:divBdr>
        </w:div>
        <w:div w:id="921140730">
          <w:marLeft w:val="0"/>
          <w:marRight w:val="0"/>
          <w:marTop w:val="0"/>
          <w:marBottom w:val="0"/>
          <w:divBdr>
            <w:top w:val="none" w:sz="0" w:space="0" w:color="auto"/>
            <w:left w:val="none" w:sz="0" w:space="0" w:color="auto"/>
            <w:bottom w:val="none" w:sz="0" w:space="0" w:color="auto"/>
            <w:right w:val="none" w:sz="0" w:space="0" w:color="auto"/>
          </w:divBdr>
        </w:div>
        <w:div w:id="921140754">
          <w:marLeft w:val="0"/>
          <w:marRight w:val="0"/>
          <w:marTop w:val="0"/>
          <w:marBottom w:val="0"/>
          <w:divBdr>
            <w:top w:val="none" w:sz="0" w:space="0" w:color="auto"/>
            <w:left w:val="none" w:sz="0" w:space="0" w:color="auto"/>
            <w:bottom w:val="none" w:sz="0" w:space="0" w:color="auto"/>
            <w:right w:val="none" w:sz="0" w:space="0" w:color="auto"/>
          </w:divBdr>
        </w:div>
        <w:div w:id="921140762">
          <w:marLeft w:val="0"/>
          <w:marRight w:val="0"/>
          <w:marTop w:val="0"/>
          <w:marBottom w:val="0"/>
          <w:divBdr>
            <w:top w:val="none" w:sz="0" w:space="0" w:color="auto"/>
            <w:left w:val="none" w:sz="0" w:space="0" w:color="auto"/>
            <w:bottom w:val="none" w:sz="0" w:space="0" w:color="auto"/>
            <w:right w:val="none" w:sz="0" w:space="0" w:color="auto"/>
          </w:divBdr>
        </w:div>
        <w:div w:id="921140817">
          <w:marLeft w:val="0"/>
          <w:marRight w:val="0"/>
          <w:marTop w:val="0"/>
          <w:marBottom w:val="0"/>
          <w:divBdr>
            <w:top w:val="none" w:sz="0" w:space="0" w:color="auto"/>
            <w:left w:val="none" w:sz="0" w:space="0" w:color="auto"/>
            <w:bottom w:val="none" w:sz="0" w:space="0" w:color="auto"/>
            <w:right w:val="none" w:sz="0" w:space="0" w:color="auto"/>
          </w:divBdr>
        </w:div>
        <w:div w:id="921140818">
          <w:marLeft w:val="0"/>
          <w:marRight w:val="0"/>
          <w:marTop w:val="0"/>
          <w:marBottom w:val="0"/>
          <w:divBdr>
            <w:top w:val="none" w:sz="0" w:space="0" w:color="auto"/>
            <w:left w:val="none" w:sz="0" w:space="0" w:color="auto"/>
            <w:bottom w:val="none" w:sz="0" w:space="0" w:color="auto"/>
            <w:right w:val="none" w:sz="0" w:space="0" w:color="auto"/>
          </w:divBdr>
        </w:div>
      </w:divsChild>
    </w:div>
    <w:div w:id="921140795">
      <w:marLeft w:val="0"/>
      <w:marRight w:val="0"/>
      <w:marTop w:val="0"/>
      <w:marBottom w:val="0"/>
      <w:divBdr>
        <w:top w:val="none" w:sz="0" w:space="0" w:color="auto"/>
        <w:left w:val="none" w:sz="0" w:space="0" w:color="auto"/>
        <w:bottom w:val="none" w:sz="0" w:space="0" w:color="auto"/>
        <w:right w:val="none" w:sz="0" w:space="0" w:color="auto"/>
      </w:divBdr>
      <w:divsChild>
        <w:div w:id="921140765">
          <w:marLeft w:val="0"/>
          <w:marRight w:val="0"/>
          <w:marTop w:val="0"/>
          <w:marBottom w:val="0"/>
          <w:divBdr>
            <w:top w:val="none" w:sz="0" w:space="0" w:color="auto"/>
            <w:left w:val="none" w:sz="0" w:space="0" w:color="auto"/>
            <w:bottom w:val="none" w:sz="0" w:space="0" w:color="auto"/>
            <w:right w:val="none" w:sz="0" w:space="0" w:color="auto"/>
          </w:divBdr>
        </w:div>
        <w:div w:id="921140810">
          <w:marLeft w:val="0"/>
          <w:marRight w:val="0"/>
          <w:marTop w:val="0"/>
          <w:marBottom w:val="0"/>
          <w:divBdr>
            <w:top w:val="none" w:sz="0" w:space="0" w:color="auto"/>
            <w:left w:val="none" w:sz="0" w:space="0" w:color="auto"/>
            <w:bottom w:val="none" w:sz="0" w:space="0" w:color="auto"/>
            <w:right w:val="none" w:sz="0" w:space="0" w:color="auto"/>
          </w:divBdr>
        </w:div>
      </w:divsChild>
    </w:div>
    <w:div w:id="921140799">
      <w:marLeft w:val="0"/>
      <w:marRight w:val="0"/>
      <w:marTop w:val="0"/>
      <w:marBottom w:val="0"/>
      <w:divBdr>
        <w:top w:val="none" w:sz="0" w:space="0" w:color="auto"/>
        <w:left w:val="none" w:sz="0" w:space="0" w:color="auto"/>
        <w:bottom w:val="none" w:sz="0" w:space="0" w:color="auto"/>
        <w:right w:val="none" w:sz="0" w:space="0" w:color="auto"/>
      </w:divBdr>
      <w:divsChild>
        <w:div w:id="921140699">
          <w:marLeft w:val="0"/>
          <w:marRight w:val="0"/>
          <w:marTop w:val="0"/>
          <w:marBottom w:val="0"/>
          <w:divBdr>
            <w:top w:val="none" w:sz="0" w:space="0" w:color="auto"/>
            <w:left w:val="none" w:sz="0" w:space="0" w:color="auto"/>
            <w:bottom w:val="none" w:sz="0" w:space="0" w:color="auto"/>
            <w:right w:val="none" w:sz="0" w:space="0" w:color="auto"/>
          </w:divBdr>
        </w:div>
        <w:div w:id="921140700">
          <w:marLeft w:val="0"/>
          <w:marRight w:val="0"/>
          <w:marTop w:val="0"/>
          <w:marBottom w:val="0"/>
          <w:divBdr>
            <w:top w:val="none" w:sz="0" w:space="0" w:color="auto"/>
            <w:left w:val="none" w:sz="0" w:space="0" w:color="auto"/>
            <w:bottom w:val="none" w:sz="0" w:space="0" w:color="auto"/>
            <w:right w:val="none" w:sz="0" w:space="0" w:color="auto"/>
          </w:divBdr>
        </w:div>
        <w:div w:id="921140701">
          <w:marLeft w:val="0"/>
          <w:marRight w:val="0"/>
          <w:marTop w:val="0"/>
          <w:marBottom w:val="0"/>
          <w:divBdr>
            <w:top w:val="none" w:sz="0" w:space="0" w:color="auto"/>
            <w:left w:val="none" w:sz="0" w:space="0" w:color="auto"/>
            <w:bottom w:val="none" w:sz="0" w:space="0" w:color="auto"/>
            <w:right w:val="none" w:sz="0" w:space="0" w:color="auto"/>
          </w:divBdr>
        </w:div>
        <w:div w:id="921140708">
          <w:marLeft w:val="0"/>
          <w:marRight w:val="0"/>
          <w:marTop w:val="0"/>
          <w:marBottom w:val="0"/>
          <w:divBdr>
            <w:top w:val="none" w:sz="0" w:space="0" w:color="auto"/>
            <w:left w:val="none" w:sz="0" w:space="0" w:color="auto"/>
            <w:bottom w:val="none" w:sz="0" w:space="0" w:color="auto"/>
            <w:right w:val="none" w:sz="0" w:space="0" w:color="auto"/>
          </w:divBdr>
        </w:div>
        <w:div w:id="921140713">
          <w:marLeft w:val="0"/>
          <w:marRight w:val="0"/>
          <w:marTop w:val="0"/>
          <w:marBottom w:val="0"/>
          <w:divBdr>
            <w:top w:val="none" w:sz="0" w:space="0" w:color="auto"/>
            <w:left w:val="none" w:sz="0" w:space="0" w:color="auto"/>
            <w:bottom w:val="none" w:sz="0" w:space="0" w:color="auto"/>
            <w:right w:val="none" w:sz="0" w:space="0" w:color="auto"/>
          </w:divBdr>
        </w:div>
        <w:div w:id="921140738">
          <w:marLeft w:val="0"/>
          <w:marRight w:val="0"/>
          <w:marTop w:val="0"/>
          <w:marBottom w:val="0"/>
          <w:divBdr>
            <w:top w:val="none" w:sz="0" w:space="0" w:color="auto"/>
            <w:left w:val="none" w:sz="0" w:space="0" w:color="auto"/>
            <w:bottom w:val="none" w:sz="0" w:space="0" w:color="auto"/>
            <w:right w:val="none" w:sz="0" w:space="0" w:color="auto"/>
          </w:divBdr>
        </w:div>
        <w:div w:id="921140767">
          <w:marLeft w:val="0"/>
          <w:marRight w:val="0"/>
          <w:marTop w:val="0"/>
          <w:marBottom w:val="0"/>
          <w:divBdr>
            <w:top w:val="none" w:sz="0" w:space="0" w:color="auto"/>
            <w:left w:val="none" w:sz="0" w:space="0" w:color="auto"/>
            <w:bottom w:val="none" w:sz="0" w:space="0" w:color="auto"/>
            <w:right w:val="none" w:sz="0" w:space="0" w:color="auto"/>
          </w:divBdr>
        </w:div>
        <w:div w:id="921140770">
          <w:marLeft w:val="0"/>
          <w:marRight w:val="0"/>
          <w:marTop w:val="0"/>
          <w:marBottom w:val="0"/>
          <w:divBdr>
            <w:top w:val="none" w:sz="0" w:space="0" w:color="auto"/>
            <w:left w:val="none" w:sz="0" w:space="0" w:color="auto"/>
            <w:bottom w:val="none" w:sz="0" w:space="0" w:color="auto"/>
            <w:right w:val="none" w:sz="0" w:space="0" w:color="auto"/>
          </w:divBdr>
        </w:div>
        <w:div w:id="921140791">
          <w:marLeft w:val="0"/>
          <w:marRight w:val="0"/>
          <w:marTop w:val="0"/>
          <w:marBottom w:val="0"/>
          <w:divBdr>
            <w:top w:val="none" w:sz="0" w:space="0" w:color="auto"/>
            <w:left w:val="none" w:sz="0" w:space="0" w:color="auto"/>
            <w:bottom w:val="none" w:sz="0" w:space="0" w:color="auto"/>
            <w:right w:val="none" w:sz="0" w:space="0" w:color="auto"/>
          </w:divBdr>
        </w:div>
        <w:div w:id="921140797">
          <w:marLeft w:val="0"/>
          <w:marRight w:val="0"/>
          <w:marTop w:val="0"/>
          <w:marBottom w:val="0"/>
          <w:divBdr>
            <w:top w:val="none" w:sz="0" w:space="0" w:color="auto"/>
            <w:left w:val="none" w:sz="0" w:space="0" w:color="auto"/>
            <w:bottom w:val="none" w:sz="0" w:space="0" w:color="auto"/>
            <w:right w:val="none" w:sz="0" w:space="0" w:color="auto"/>
          </w:divBdr>
        </w:div>
        <w:div w:id="921140813">
          <w:marLeft w:val="0"/>
          <w:marRight w:val="0"/>
          <w:marTop w:val="0"/>
          <w:marBottom w:val="0"/>
          <w:divBdr>
            <w:top w:val="none" w:sz="0" w:space="0" w:color="auto"/>
            <w:left w:val="none" w:sz="0" w:space="0" w:color="auto"/>
            <w:bottom w:val="none" w:sz="0" w:space="0" w:color="auto"/>
            <w:right w:val="none" w:sz="0" w:space="0" w:color="auto"/>
          </w:divBdr>
        </w:div>
        <w:div w:id="921140835">
          <w:marLeft w:val="0"/>
          <w:marRight w:val="0"/>
          <w:marTop w:val="0"/>
          <w:marBottom w:val="0"/>
          <w:divBdr>
            <w:top w:val="none" w:sz="0" w:space="0" w:color="auto"/>
            <w:left w:val="none" w:sz="0" w:space="0" w:color="auto"/>
            <w:bottom w:val="none" w:sz="0" w:space="0" w:color="auto"/>
            <w:right w:val="none" w:sz="0" w:space="0" w:color="auto"/>
          </w:divBdr>
        </w:div>
      </w:divsChild>
    </w:div>
    <w:div w:id="921140803">
      <w:marLeft w:val="0"/>
      <w:marRight w:val="0"/>
      <w:marTop w:val="0"/>
      <w:marBottom w:val="0"/>
      <w:divBdr>
        <w:top w:val="none" w:sz="0" w:space="0" w:color="auto"/>
        <w:left w:val="none" w:sz="0" w:space="0" w:color="auto"/>
        <w:bottom w:val="none" w:sz="0" w:space="0" w:color="auto"/>
        <w:right w:val="none" w:sz="0" w:space="0" w:color="auto"/>
      </w:divBdr>
      <w:divsChild>
        <w:div w:id="921140746">
          <w:marLeft w:val="0"/>
          <w:marRight w:val="0"/>
          <w:marTop w:val="0"/>
          <w:marBottom w:val="0"/>
          <w:divBdr>
            <w:top w:val="none" w:sz="0" w:space="0" w:color="auto"/>
            <w:left w:val="none" w:sz="0" w:space="0" w:color="auto"/>
            <w:bottom w:val="none" w:sz="0" w:space="0" w:color="auto"/>
            <w:right w:val="none" w:sz="0" w:space="0" w:color="auto"/>
          </w:divBdr>
        </w:div>
        <w:div w:id="921140776">
          <w:marLeft w:val="0"/>
          <w:marRight w:val="0"/>
          <w:marTop w:val="0"/>
          <w:marBottom w:val="0"/>
          <w:divBdr>
            <w:top w:val="none" w:sz="0" w:space="0" w:color="auto"/>
            <w:left w:val="none" w:sz="0" w:space="0" w:color="auto"/>
            <w:bottom w:val="none" w:sz="0" w:space="0" w:color="auto"/>
            <w:right w:val="none" w:sz="0" w:space="0" w:color="auto"/>
          </w:divBdr>
        </w:div>
        <w:div w:id="921140820">
          <w:marLeft w:val="0"/>
          <w:marRight w:val="0"/>
          <w:marTop w:val="0"/>
          <w:marBottom w:val="0"/>
          <w:divBdr>
            <w:top w:val="none" w:sz="0" w:space="0" w:color="auto"/>
            <w:left w:val="none" w:sz="0" w:space="0" w:color="auto"/>
            <w:bottom w:val="none" w:sz="0" w:space="0" w:color="auto"/>
            <w:right w:val="none" w:sz="0" w:space="0" w:color="auto"/>
          </w:divBdr>
        </w:div>
      </w:divsChild>
    </w:div>
    <w:div w:id="921140806">
      <w:marLeft w:val="0"/>
      <w:marRight w:val="0"/>
      <w:marTop w:val="0"/>
      <w:marBottom w:val="0"/>
      <w:divBdr>
        <w:top w:val="none" w:sz="0" w:space="0" w:color="auto"/>
        <w:left w:val="none" w:sz="0" w:space="0" w:color="auto"/>
        <w:bottom w:val="none" w:sz="0" w:space="0" w:color="auto"/>
        <w:right w:val="none" w:sz="0" w:space="0" w:color="auto"/>
      </w:divBdr>
      <w:divsChild>
        <w:div w:id="921140748">
          <w:marLeft w:val="0"/>
          <w:marRight w:val="0"/>
          <w:marTop w:val="0"/>
          <w:marBottom w:val="0"/>
          <w:divBdr>
            <w:top w:val="none" w:sz="0" w:space="0" w:color="auto"/>
            <w:left w:val="none" w:sz="0" w:space="0" w:color="auto"/>
            <w:bottom w:val="none" w:sz="0" w:space="0" w:color="auto"/>
            <w:right w:val="none" w:sz="0" w:space="0" w:color="auto"/>
          </w:divBdr>
        </w:div>
        <w:div w:id="921140749">
          <w:marLeft w:val="0"/>
          <w:marRight w:val="0"/>
          <w:marTop w:val="0"/>
          <w:marBottom w:val="0"/>
          <w:divBdr>
            <w:top w:val="none" w:sz="0" w:space="0" w:color="auto"/>
            <w:left w:val="none" w:sz="0" w:space="0" w:color="auto"/>
            <w:bottom w:val="none" w:sz="0" w:space="0" w:color="auto"/>
            <w:right w:val="none" w:sz="0" w:space="0" w:color="auto"/>
          </w:divBdr>
        </w:div>
      </w:divsChild>
    </w:div>
    <w:div w:id="921140807">
      <w:marLeft w:val="0"/>
      <w:marRight w:val="0"/>
      <w:marTop w:val="0"/>
      <w:marBottom w:val="0"/>
      <w:divBdr>
        <w:top w:val="none" w:sz="0" w:space="0" w:color="auto"/>
        <w:left w:val="none" w:sz="0" w:space="0" w:color="auto"/>
        <w:bottom w:val="none" w:sz="0" w:space="0" w:color="auto"/>
        <w:right w:val="none" w:sz="0" w:space="0" w:color="auto"/>
      </w:divBdr>
      <w:divsChild>
        <w:div w:id="921140706">
          <w:marLeft w:val="0"/>
          <w:marRight w:val="0"/>
          <w:marTop w:val="0"/>
          <w:marBottom w:val="0"/>
          <w:divBdr>
            <w:top w:val="none" w:sz="0" w:space="0" w:color="auto"/>
            <w:left w:val="none" w:sz="0" w:space="0" w:color="auto"/>
            <w:bottom w:val="none" w:sz="0" w:space="0" w:color="auto"/>
            <w:right w:val="none" w:sz="0" w:space="0" w:color="auto"/>
          </w:divBdr>
        </w:div>
        <w:div w:id="921140710">
          <w:marLeft w:val="0"/>
          <w:marRight w:val="0"/>
          <w:marTop w:val="0"/>
          <w:marBottom w:val="0"/>
          <w:divBdr>
            <w:top w:val="none" w:sz="0" w:space="0" w:color="auto"/>
            <w:left w:val="none" w:sz="0" w:space="0" w:color="auto"/>
            <w:bottom w:val="none" w:sz="0" w:space="0" w:color="auto"/>
            <w:right w:val="none" w:sz="0" w:space="0" w:color="auto"/>
          </w:divBdr>
        </w:div>
        <w:div w:id="921140753">
          <w:marLeft w:val="0"/>
          <w:marRight w:val="0"/>
          <w:marTop w:val="0"/>
          <w:marBottom w:val="0"/>
          <w:divBdr>
            <w:top w:val="none" w:sz="0" w:space="0" w:color="auto"/>
            <w:left w:val="none" w:sz="0" w:space="0" w:color="auto"/>
            <w:bottom w:val="none" w:sz="0" w:space="0" w:color="auto"/>
            <w:right w:val="none" w:sz="0" w:space="0" w:color="auto"/>
          </w:divBdr>
        </w:div>
      </w:divsChild>
    </w:div>
    <w:div w:id="921140811">
      <w:marLeft w:val="0"/>
      <w:marRight w:val="0"/>
      <w:marTop w:val="0"/>
      <w:marBottom w:val="0"/>
      <w:divBdr>
        <w:top w:val="none" w:sz="0" w:space="0" w:color="auto"/>
        <w:left w:val="none" w:sz="0" w:space="0" w:color="auto"/>
        <w:bottom w:val="none" w:sz="0" w:space="0" w:color="auto"/>
        <w:right w:val="none" w:sz="0" w:space="0" w:color="auto"/>
      </w:divBdr>
      <w:divsChild>
        <w:div w:id="921140725">
          <w:marLeft w:val="0"/>
          <w:marRight w:val="0"/>
          <w:marTop w:val="0"/>
          <w:marBottom w:val="0"/>
          <w:divBdr>
            <w:top w:val="none" w:sz="0" w:space="0" w:color="auto"/>
            <w:left w:val="none" w:sz="0" w:space="0" w:color="auto"/>
            <w:bottom w:val="none" w:sz="0" w:space="0" w:color="auto"/>
            <w:right w:val="none" w:sz="0" w:space="0" w:color="auto"/>
          </w:divBdr>
        </w:div>
        <w:div w:id="921140737">
          <w:marLeft w:val="0"/>
          <w:marRight w:val="0"/>
          <w:marTop w:val="0"/>
          <w:marBottom w:val="0"/>
          <w:divBdr>
            <w:top w:val="none" w:sz="0" w:space="0" w:color="auto"/>
            <w:left w:val="none" w:sz="0" w:space="0" w:color="auto"/>
            <w:bottom w:val="none" w:sz="0" w:space="0" w:color="auto"/>
            <w:right w:val="none" w:sz="0" w:space="0" w:color="auto"/>
          </w:divBdr>
        </w:div>
        <w:div w:id="921140831">
          <w:marLeft w:val="0"/>
          <w:marRight w:val="0"/>
          <w:marTop w:val="0"/>
          <w:marBottom w:val="0"/>
          <w:divBdr>
            <w:top w:val="none" w:sz="0" w:space="0" w:color="auto"/>
            <w:left w:val="none" w:sz="0" w:space="0" w:color="auto"/>
            <w:bottom w:val="none" w:sz="0" w:space="0" w:color="auto"/>
            <w:right w:val="none" w:sz="0" w:space="0" w:color="auto"/>
          </w:divBdr>
        </w:div>
      </w:divsChild>
    </w:div>
    <w:div w:id="921140812">
      <w:marLeft w:val="0"/>
      <w:marRight w:val="0"/>
      <w:marTop w:val="0"/>
      <w:marBottom w:val="0"/>
      <w:divBdr>
        <w:top w:val="none" w:sz="0" w:space="0" w:color="auto"/>
        <w:left w:val="none" w:sz="0" w:space="0" w:color="auto"/>
        <w:bottom w:val="none" w:sz="0" w:space="0" w:color="auto"/>
        <w:right w:val="none" w:sz="0" w:space="0" w:color="auto"/>
      </w:divBdr>
      <w:divsChild>
        <w:div w:id="921140716">
          <w:marLeft w:val="0"/>
          <w:marRight w:val="0"/>
          <w:marTop w:val="0"/>
          <w:marBottom w:val="0"/>
          <w:divBdr>
            <w:top w:val="none" w:sz="0" w:space="0" w:color="auto"/>
            <w:left w:val="none" w:sz="0" w:space="0" w:color="auto"/>
            <w:bottom w:val="none" w:sz="0" w:space="0" w:color="auto"/>
            <w:right w:val="none" w:sz="0" w:space="0" w:color="auto"/>
          </w:divBdr>
        </w:div>
        <w:div w:id="921140740">
          <w:marLeft w:val="0"/>
          <w:marRight w:val="0"/>
          <w:marTop w:val="0"/>
          <w:marBottom w:val="0"/>
          <w:divBdr>
            <w:top w:val="none" w:sz="0" w:space="0" w:color="auto"/>
            <w:left w:val="none" w:sz="0" w:space="0" w:color="auto"/>
            <w:bottom w:val="none" w:sz="0" w:space="0" w:color="auto"/>
            <w:right w:val="none" w:sz="0" w:space="0" w:color="auto"/>
          </w:divBdr>
        </w:div>
        <w:div w:id="921140769">
          <w:marLeft w:val="0"/>
          <w:marRight w:val="0"/>
          <w:marTop w:val="0"/>
          <w:marBottom w:val="0"/>
          <w:divBdr>
            <w:top w:val="none" w:sz="0" w:space="0" w:color="auto"/>
            <w:left w:val="none" w:sz="0" w:space="0" w:color="auto"/>
            <w:bottom w:val="none" w:sz="0" w:space="0" w:color="auto"/>
            <w:right w:val="none" w:sz="0" w:space="0" w:color="auto"/>
          </w:divBdr>
        </w:div>
        <w:div w:id="921140772">
          <w:marLeft w:val="0"/>
          <w:marRight w:val="0"/>
          <w:marTop w:val="0"/>
          <w:marBottom w:val="0"/>
          <w:divBdr>
            <w:top w:val="none" w:sz="0" w:space="0" w:color="auto"/>
            <w:left w:val="none" w:sz="0" w:space="0" w:color="auto"/>
            <w:bottom w:val="none" w:sz="0" w:space="0" w:color="auto"/>
            <w:right w:val="none" w:sz="0" w:space="0" w:color="auto"/>
          </w:divBdr>
        </w:div>
        <w:div w:id="921140787">
          <w:marLeft w:val="0"/>
          <w:marRight w:val="0"/>
          <w:marTop w:val="0"/>
          <w:marBottom w:val="0"/>
          <w:divBdr>
            <w:top w:val="none" w:sz="0" w:space="0" w:color="auto"/>
            <w:left w:val="none" w:sz="0" w:space="0" w:color="auto"/>
            <w:bottom w:val="none" w:sz="0" w:space="0" w:color="auto"/>
            <w:right w:val="none" w:sz="0" w:space="0" w:color="auto"/>
          </w:divBdr>
        </w:div>
        <w:div w:id="921140790">
          <w:marLeft w:val="0"/>
          <w:marRight w:val="0"/>
          <w:marTop w:val="0"/>
          <w:marBottom w:val="0"/>
          <w:divBdr>
            <w:top w:val="none" w:sz="0" w:space="0" w:color="auto"/>
            <w:left w:val="none" w:sz="0" w:space="0" w:color="auto"/>
            <w:bottom w:val="none" w:sz="0" w:space="0" w:color="auto"/>
            <w:right w:val="none" w:sz="0" w:space="0" w:color="auto"/>
          </w:divBdr>
        </w:div>
        <w:div w:id="921140821">
          <w:marLeft w:val="0"/>
          <w:marRight w:val="0"/>
          <w:marTop w:val="0"/>
          <w:marBottom w:val="0"/>
          <w:divBdr>
            <w:top w:val="none" w:sz="0" w:space="0" w:color="auto"/>
            <w:left w:val="none" w:sz="0" w:space="0" w:color="auto"/>
            <w:bottom w:val="none" w:sz="0" w:space="0" w:color="auto"/>
            <w:right w:val="none" w:sz="0" w:space="0" w:color="auto"/>
          </w:divBdr>
        </w:div>
        <w:div w:id="921140830">
          <w:marLeft w:val="0"/>
          <w:marRight w:val="0"/>
          <w:marTop w:val="0"/>
          <w:marBottom w:val="0"/>
          <w:divBdr>
            <w:top w:val="none" w:sz="0" w:space="0" w:color="auto"/>
            <w:left w:val="none" w:sz="0" w:space="0" w:color="auto"/>
            <w:bottom w:val="none" w:sz="0" w:space="0" w:color="auto"/>
            <w:right w:val="none" w:sz="0" w:space="0" w:color="auto"/>
          </w:divBdr>
        </w:div>
        <w:div w:id="921140836">
          <w:marLeft w:val="0"/>
          <w:marRight w:val="0"/>
          <w:marTop w:val="0"/>
          <w:marBottom w:val="0"/>
          <w:divBdr>
            <w:top w:val="none" w:sz="0" w:space="0" w:color="auto"/>
            <w:left w:val="none" w:sz="0" w:space="0" w:color="auto"/>
            <w:bottom w:val="none" w:sz="0" w:space="0" w:color="auto"/>
            <w:right w:val="none" w:sz="0" w:space="0" w:color="auto"/>
          </w:divBdr>
        </w:div>
      </w:divsChild>
    </w:div>
    <w:div w:id="921140816">
      <w:marLeft w:val="0"/>
      <w:marRight w:val="0"/>
      <w:marTop w:val="0"/>
      <w:marBottom w:val="0"/>
      <w:divBdr>
        <w:top w:val="none" w:sz="0" w:space="0" w:color="auto"/>
        <w:left w:val="none" w:sz="0" w:space="0" w:color="auto"/>
        <w:bottom w:val="none" w:sz="0" w:space="0" w:color="auto"/>
        <w:right w:val="none" w:sz="0" w:space="0" w:color="auto"/>
      </w:divBdr>
    </w:div>
    <w:div w:id="921140837">
      <w:marLeft w:val="0"/>
      <w:marRight w:val="0"/>
      <w:marTop w:val="0"/>
      <w:marBottom w:val="0"/>
      <w:divBdr>
        <w:top w:val="none" w:sz="0" w:space="0" w:color="auto"/>
        <w:left w:val="none" w:sz="0" w:space="0" w:color="auto"/>
        <w:bottom w:val="none" w:sz="0" w:space="0" w:color="auto"/>
        <w:right w:val="none" w:sz="0" w:space="0" w:color="auto"/>
      </w:divBdr>
      <w:divsChild>
        <w:div w:id="921140726">
          <w:marLeft w:val="0"/>
          <w:marRight w:val="0"/>
          <w:marTop w:val="0"/>
          <w:marBottom w:val="0"/>
          <w:divBdr>
            <w:top w:val="none" w:sz="0" w:space="0" w:color="auto"/>
            <w:left w:val="none" w:sz="0" w:space="0" w:color="auto"/>
            <w:bottom w:val="none" w:sz="0" w:space="0" w:color="auto"/>
            <w:right w:val="none" w:sz="0" w:space="0" w:color="auto"/>
          </w:divBdr>
        </w:div>
        <w:div w:id="921140785">
          <w:marLeft w:val="0"/>
          <w:marRight w:val="0"/>
          <w:marTop w:val="0"/>
          <w:marBottom w:val="0"/>
          <w:divBdr>
            <w:top w:val="none" w:sz="0" w:space="0" w:color="auto"/>
            <w:left w:val="none" w:sz="0" w:space="0" w:color="auto"/>
            <w:bottom w:val="none" w:sz="0" w:space="0" w:color="auto"/>
            <w:right w:val="none" w:sz="0" w:space="0" w:color="auto"/>
          </w:divBdr>
        </w:div>
        <w:div w:id="921140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unesco.org/new/en/cairo/culture/tangible-cultural-heritage/" TargetMode="External"/><Relationship Id="rId1" Type="http://schemas.openxmlformats.org/officeDocument/2006/relationships/hyperlink" Target="http://cmsdata.iucn.org/downloads/en_iucn__glossary_defini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5596B-1953-4DB1-9427-0D84B8CFD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4089</Words>
  <Characters>24130</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
    </vt:vector>
  </TitlesOfParts>
  <Company>WH</Company>
  <LinksUpToDate>false</LinksUpToDate>
  <CharactersWithSpaces>28163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Ebermann Christophe</dc:creator>
  <cp:lastModifiedBy>J. Ponerová</cp:lastModifiedBy>
  <cp:revision>3</cp:revision>
  <dcterms:created xsi:type="dcterms:W3CDTF">2014-05-09T12:43:00Z</dcterms:created>
  <dcterms:modified xsi:type="dcterms:W3CDTF">2014-05-09T12:49:00Z</dcterms:modified>
</cp:coreProperties>
</file>